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6101" w:rsidRDefault="009D6EC4" w:rsidP="00EC53F6">
      <w:pPr>
        <w:widowControl w:val="0"/>
        <w:autoSpaceDE w:val="0"/>
        <w:autoSpaceDN w:val="0"/>
        <w:adjustRightInd w:val="0"/>
        <w:spacing w:after="260"/>
        <w:jc w:val="both"/>
        <w:rPr>
          <w:rFonts w:ascii="Arial" w:hAnsi="Arial" w:cs="Arial"/>
          <w:sz w:val="22"/>
          <w:szCs w:val="22"/>
          <w:lang w:eastAsia="ja-JP"/>
        </w:rPr>
      </w:pPr>
      <w:r w:rsidRPr="009D6EC4">
        <w:rPr>
          <w:rFonts w:ascii="Arial" w:hAnsi="Arial" w:cs="Arial"/>
          <w:sz w:val="22"/>
          <w:szCs w:val="22"/>
          <w:lang w:eastAsia="ja-JP"/>
        </w:rPr>
        <w:t xml:space="preserve">The Ontario Ministry of Tourism, Culture and Sport has taken an important step in seeking to develop the first ever Culture Strategy for Ontario. </w:t>
      </w:r>
      <w:r w:rsidR="00526336">
        <w:rPr>
          <w:rFonts w:ascii="Arial" w:hAnsi="Arial" w:cs="Arial"/>
          <w:sz w:val="22"/>
          <w:szCs w:val="22"/>
          <w:lang w:eastAsia="ja-JP"/>
        </w:rPr>
        <w:t xml:space="preserve">CPAMO </w:t>
      </w:r>
      <w:r w:rsidR="00CC29E7">
        <w:rPr>
          <w:rFonts w:ascii="Arial" w:hAnsi="Arial" w:cs="Arial"/>
          <w:sz w:val="22"/>
          <w:szCs w:val="22"/>
          <w:lang w:eastAsia="ja-JP"/>
        </w:rPr>
        <w:t xml:space="preserve">(Cultural Pluralism in the Arts Movement Ontario – </w:t>
      </w:r>
      <w:hyperlink r:id="rId7" w:history="1">
        <w:r w:rsidR="00CC29E7" w:rsidRPr="009C264D">
          <w:rPr>
            <w:rStyle w:val="Hyperlink"/>
            <w:rFonts w:ascii="Arial" w:hAnsi="Arial" w:cs="Arial"/>
            <w:sz w:val="22"/>
            <w:szCs w:val="22"/>
            <w:lang w:eastAsia="ja-JP"/>
          </w:rPr>
          <w:t>www.cpamo.org</w:t>
        </w:r>
      </w:hyperlink>
      <w:r w:rsidR="00CC29E7">
        <w:rPr>
          <w:rFonts w:ascii="Arial" w:hAnsi="Arial" w:cs="Arial"/>
          <w:sz w:val="22"/>
          <w:szCs w:val="22"/>
          <w:lang w:eastAsia="ja-JP"/>
        </w:rPr>
        <w:t xml:space="preserve">) </w:t>
      </w:r>
      <w:r w:rsidR="00526336">
        <w:rPr>
          <w:rFonts w:ascii="Arial" w:hAnsi="Arial" w:cs="Arial"/>
          <w:sz w:val="22"/>
          <w:szCs w:val="22"/>
          <w:lang w:eastAsia="ja-JP"/>
        </w:rPr>
        <w:t xml:space="preserve">is pleased to take this opportunity to share some of our thoughts with the Ministry about </w:t>
      </w:r>
      <w:r w:rsidR="00ED21B3">
        <w:rPr>
          <w:rFonts w:ascii="Arial" w:hAnsi="Arial" w:cs="Arial"/>
          <w:sz w:val="22"/>
          <w:szCs w:val="22"/>
          <w:lang w:eastAsia="ja-JP"/>
        </w:rPr>
        <w:t>the diversity of cultures</w:t>
      </w:r>
      <w:r w:rsidR="00526336">
        <w:rPr>
          <w:rFonts w:ascii="Arial" w:hAnsi="Arial" w:cs="Arial"/>
          <w:sz w:val="22"/>
          <w:szCs w:val="22"/>
          <w:lang w:eastAsia="ja-JP"/>
        </w:rPr>
        <w:t xml:space="preserve"> in Ontario and what we think is important to address substantively to engage Indigenous and racialized peoples and </w:t>
      </w:r>
      <w:r w:rsidR="00CC29E7">
        <w:rPr>
          <w:rFonts w:ascii="Arial" w:hAnsi="Arial" w:cs="Arial"/>
          <w:sz w:val="22"/>
          <w:szCs w:val="22"/>
          <w:lang w:eastAsia="ja-JP"/>
        </w:rPr>
        <w:t xml:space="preserve">artists, and other historically </w:t>
      </w:r>
      <w:r w:rsidR="00526336">
        <w:rPr>
          <w:rFonts w:ascii="Arial" w:hAnsi="Arial" w:cs="Arial"/>
          <w:sz w:val="22"/>
          <w:szCs w:val="22"/>
          <w:lang w:eastAsia="ja-JP"/>
        </w:rPr>
        <w:t xml:space="preserve">marginalized artists and the communities they come from, e.g., LGBQT, deaf, </w:t>
      </w:r>
      <w:r w:rsidR="00A526AD">
        <w:rPr>
          <w:rFonts w:ascii="Arial" w:hAnsi="Arial" w:cs="Arial"/>
          <w:sz w:val="22"/>
          <w:szCs w:val="22"/>
          <w:lang w:eastAsia="ja-JP"/>
        </w:rPr>
        <w:t>differently-abled</w:t>
      </w:r>
      <w:r w:rsidR="00526336">
        <w:rPr>
          <w:rFonts w:ascii="Arial" w:hAnsi="Arial" w:cs="Arial"/>
          <w:sz w:val="22"/>
          <w:szCs w:val="22"/>
          <w:lang w:eastAsia="ja-JP"/>
        </w:rPr>
        <w:t xml:space="preserve"> and mad, Francophones, new immigrants</w:t>
      </w:r>
      <w:r w:rsidR="00CC29E7">
        <w:rPr>
          <w:rFonts w:ascii="Arial" w:hAnsi="Arial" w:cs="Arial"/>
          <w:sz w:val="22"/>
          <w:szCs w:val="22"/>
          <w:lang w:eastAsia="ja-JP"/>
        </w:rPr>
        <w:t xml:space="preserve"> and others</w:t>
      </w:r>
      <w:r w:rsidR="004043C2">
        <w:rPr>
          <w:rFonts w:ascii="Arial" w:hAnsi="Arial" w:cs="Arial"/>
          <w:sz w:val="22"/>
          <w:szCs w:val="22"/>
          <w:lang w:eastAsia="ja-JP"/>
        </w:rPr>
        <w:t>.</w:t>
      </w:r>
    </w:p>
    <w:p w:rsidR="009D6EC4" w:rsidRDefault="00CC29E7" w:rsidP="00EC53F6">
      <w:pPr>
        <w:widowControl w:val="0"/>
        <w:autoSpaceDE w:val="0"/>
        <w:autoSpaceDN w:val="0"/>
        <w:adjustRightInd w:val="0"/>
        <w:spacing w:after="260"/>
        <w:jc w:val="both"/>
        <w:rPr>
          <w:rFonts w:ascii="Arial" w:hAnsi="Arial" w:cs="Arial"/>
          <w:sz w:val="22"/>
          <w:szCs w:val="22"/>
          <w:lang w:eastAsia="ja-JP"/>
        </w:rPr>
      </w:pPr>
      <w:r>
        <w:rPr>
          <w:rFonts w:ascii="Arial" w:hAnsi="Arial" w:cs="Arial"/>
          <w:sz w:val="22"/>
          <w:szCs w:val="22"/>
          <w:lang w:eastAsia="ja-JP"/>
        </w:rPr>
        <w:t>CPAMO believes that there are innumerable social</w:t>
      </w:r>
      <w:r w:rsidR="009D6EC4" w:rsidRPr="009D6EC4">
        <w:rPr>
          <w:rFonts w:ascii="Arial" w:hAnsi="Arial" w:cs="Arial"/>
          <w:sz w:val="22"/>
          <w:szCs w:val="22"/>
          <w:lang w:eastAsia="ja-JP"/>
        </w:rPr>
        <w:t xml:space="preserve"> and personal benefits of </w:t>
      </w:r>
      <w:r>
        <w:rPr>
          <w:rFonts w:ascii="Arial" w:hAnsi="Arial" w:cs="Arial"/>
          <w:sz w:val="22"/>
          <w:szCs w:val="22"/>
          <w:lang w:eastAsia="ja-JP"/>
        </w:rPr>
        <w:t xml:space="preserve">a pluralistic approach to culture and the arts and we encourage the Ministry to review contemporary data on demographic changes, the growth of Indigenous </w:t>
      </w:r>
      <w:r w:rsidR="00641A67">
        <w:rPr>
          <w:rFonts w:ascii="Arial" w:hAnsi="Arial" w:cs="Arial"/>
          <w:sz w:val="22"/>
          <w:szCs w:val="22"/>
          <w:lang w:eastAsia="ja-JP"/>
        </w:rPr>
        <w:t xml:space="preserve">and racialized </w:t>
      </w:r>
      <w:r>
        <w:rPr>
          <w:rFonts w:ascii="Arial" w:hAnsi="Arial" w:cs="Arial"/>
          <w:sz w:val="22"/>
          <w:szCs w:val="22"/>
          <w:lang w:eastAsia="ja-JP"/>
        </w:rPr>
        <w:t xml:space="preserve">communities, the explosion of arts activities coming from Indigenous, racialized and other historically marginalized communities, and the challenges </w:t>
      </w:r>
      <w:r w:rsidR="00641A67">
        <w:rPr>
          <w:rFonts w:ascii="Arial" w:hAnsi="Arial" w:cs="Arial"/>
          <w:sz w:val="22"/>
          <w:szCs w:val="22"/>
          <w:lang w:eastAsia="ja-JP"/>
        </w:rPr>
        <w:t xml:space="preserve">these </w:t>
      </w:r>
      <w:r>
        <w:rPr>
          <w:rFonts w:ascii="Arial" w:hAnsi="Arial" w:cs="Arial"/>
          <w:sz w:val="22"/>
          <w:szCs w:val="22"/>
          <w:lang w:eastAsia="ja-JP"/>
        </w:rPr>
        <w:t>artists and their communities face in supporting this growth.</w:t>
      </w:r>
    </w:p>
    <w:p w:rsidR="00CC29E7" w:rsidRDefault="00CC29E7" w:rsidP="00EC53F6">
      <w:pPr>
        <w:widowControl w:val="0"/>
        <w:autoSpaceDE w:val="0"/>
        <w:autoSpaceDN w:val="0"/>
        <w:adjustRightInd w:val="0"/>
        <w:spacing w:after="260"/>
        <w:jc w:val="both"/>
        <w:rPr>
          <w:rFonts w:ascii="Arial" w:hAnsi="Arial" w:cs="Arial"/>
          <w:sz w:val="22"/>
          <w:szCs w:val="22"/>
          <w:lang w:eastAsia="ja-JP"/>
        </w:rPr>
      </w:pPr>
      <w:r>
        <w:rPr>
          <w:rFonts w:ascii="Arial" w:hAnsi="Arial" w:cs="Arial"/>
          <w:sz w:val="22"/>
          <w:szCs w:val="22"/>
          <w:lang w:eastAsia="ja-JP"/>
        </w:rPr>
        <w:t>In this context, we encourage the Ministry to look at our website to see the work we have done and are doing, the partnerships and interests we’ve garnered in our efforts and the support for the approaches CPAMO and other organizations are taking to build a robust and sustainable arts and cultural milieu that truly represents Ontario’s many peoples.</w:t>
      </w:r>
    </w:p>
    <w:p w:rsidR="00641A67" w:rsidRDefault="00641A67" w:rsidP="00EC53F6">
      <w:pPr>
        <w:widowControl w:val="0"/>
        <w:autoSpaceDE w:val="0"/>
        <w:autoSpaceDN w:val="0"/>
        <w:adjustRightInd w:val="0"/>
        <w:spacing w:after="260"/>
        <w:jc w:val="both"/>
        <w:rPr>
          <w:rFonts w:ascii="Arial" w:hAnsi="Arial" w:cs="Arial"/>
          <w:sz w:val="22"/>
          <w:szCs w:val="22"/>
          <w:lang w:eastAsia="ja-JP"/>
        </w:rPr>
      </w:pPr>
      <w:r>
        <w:rPr>
          <w:rFonts w:ascii="Arial" w:hAnsi="Arial" w:cs="Arial"/>
          <w:sz w:val="22"/>
          <w:szCs w:val="22"/>
          <w:lang w:eastAsia="ja-JP"/>
        </w:rPr>
        <w:t>This is an immediate and pressing issue.  There is no more important time than now to invest in Ontario’s arts and culture and to ensure the funding and other essential resources are in place to support a sustainable and vibrant cultural life that is inclusive of all Ontarians and places Ontario in the leadership across Canada.</w:t>
      </w:r>
    </w:p>
    <w:p w:rsidR="00CC29E7" w:rsidRDefault="00641A67" w:rsidP="00EC53F6">
      <w:pPr>
        <w:widowControl w:val="0"/>
        <w:autoSpaceDE w:val="0"/>
        <w:autoSpaceDN w:val="0"/>
        <w:adjustRightInd w:val="0"/>
        <w:jc w:val="both"/>
        <w:rPr>
          <w:rFonts w:ascii="Arial" w:hAnsi="Arial" w:cs="Arial"/>
          <w:sz w:val="22"/>
          <w:szCs w:val="22"/>
          <w:lang w:eastAsia="ja-JP"/>
        </w:rPr>
      </w:pPr>
      <w:r>
        <w:rPr>
          <w:rFonts w:ascii="Arial" w:hAnsi="Arial" w:cs="Arial"/>
          <w:sz w:val="22"/>
          <w:szCs w:val="22"/>
          <w:lang w:eastAsia="ja-JP"/>
        </w:rPr>
        <w:t xml:space="preserve">In this context, </w:t>
      </w:r>
      <w:r w:rsidR="00CC29E7">
        <w:rPr>
          <w:rFonts w:ascii="Arial" w:hAnsi="Arial" w:cs="Arial"/>
          <w:sz w:val="22"/>
          <w:szCs w:val="22"/>
          <w:lang w:eastAsia="ja-JP"/>
        </w:rPr>
        <w:t>CPAMO presents its submission in the following format:</w:t>
      </w:r>
    </w:p>
    <w:p w:rsidR="00A76888" w:rsidRDefault="00A76888" w:rsidP="00EC53F6">
      <w:pPr>
        <w:pStyle w:val="ListParagraph"/>
        <w:widowControl w:val="0"/>
        <w:numPr>
          <w:ilvl w:val="0"/>
          <w:numId w:val="17"/>
        </w:numPr>
        <w:autoSpaceDE w:val="0"/>
        <w:autoSpaceDN w:val="0"/>
        <w:adjustRightInd w:val="0"/>
        <w:ind w:left="0" w:firstLine="0"/>
        <w:jc w:val="both"/>
        <w:rPr>
          <w:rFonts w:ascii="Arial" w:hAnsi="Arial" w:cs="Arial"/>
          <w:b/>
          <w:sz w:val="22"/>
          <w:szCs w:val="22"/>
          <w:lang w:eastAsia="ja-JP"/>
        </w:rPr>
      </w:pPr>
      <w:r>
        <w:rPr>
          <w:rFonts w:ascii="Arial" w:hAnsi="Arial" w:cs="Arial"/>
          <w:b/>
          <w:sz w:val="22"/>
          <w:szCs w:val="22"/>
          <w:lang w:eastAsia="ja-JP"/>
        </w:rPr>
        <w:t>Demographic Changes</w:t>
      </w:r>
    </w:p>
    <w:p w:rsidR="00A76888" w:rsidRPr="00A76888" w:rsidRDefault="00641A67" w:rsidP="00EC53F6">
      <w:pPr>
        <w:pStyle w:val="ListParagraph"/>
        <w:widowControl w:val="0"/>
        <w:numPr>
          <w:ilvl w:val="0"/>
          <w:numId w:val="17"/>
        </w:numPr>
        <w:autoSpaceDE w:val="0"/>
        <w:autoSpaceDN w:val="0"/>
        <w:adjustRightInd w:val="0"/>
        <w:spacing w:after="260"/>
        <w:ind w:left="0" w:firstLine="0"/>
        <w:jc w:val="both"/>
        <w:rPr>
          <w:rFonts w:ascii="Arial" w:hAnsi="Arial" w:cs="Arial"/>
          <w:b/>
          <w:sz w:val="22"/>
          <w:szCs w:val="22"/>
          <w:lang w:eastAsia="ja-JP"/>
        </w:rPr>
      </w:pPr>
      <w:r>
        <w:rPr>
          <w:rFonts w:ascii="Arial" w:hAnsi="Arial" w:cs="Arial"/>
          <w:b/>
          <w:sz w:val="22"/>
          <w:szCs w:val="22"/>
          <w:lang w:eastAsia="ja-JP"/>
        </w:rPr>
        <w:t>Growth and Socio-E</w:t>
      </w:r>
      <w:r w:rsidR="00A76888" w:rsidRPr="00A76888">
        <w:rPr>
          <w:rFonts w:ascii="Arial" w:hAnsi="Arial" w:cs="Arial"/>
          <w:b/>
          <w:sz w:val="22"/>
          <w:szCs w:val="22"/>
          <w:lang w:eastAsia="ja-JP"/>
        </w:rPr>
        <w:t>conomics of Indigenous and Equity Group Artists</w:t>
      </w:r>
    </w:p>
    <w:p w:rsidR="00A76888" w:rsidRPr="00A76888" w:rsidRDefault="00A76888" w:rsidP="00EC53F6">
      <w:pPr>
        <w:pStyle w:val="ListParagraph"/>
        <w:widowControl w:val="0"/>
        <w:numPr>
          <w:ilvl w:val="0"/>
          <w:numId w:val="17"/>
        </w:numPr>
        <w:autoSpaceDE w:val="0"/>
        <w:autoSpaceDN w:val="0"/>
        <w:adjustRightInd w:val="0"/>
        <w:spacing w:after="260"/>
        <w:ind w:left="0" w:firstLine="0"/>
        <w:jc w:val="both"/>
        <w:rPr>
          <w:rFonts w:ascii="Arial" w:hAnsi="Arial" w:cs="Arial"/>
          <w:b/>
          <w:sz w:val="22"/>
          <w:szCs w:val="22"/>
          <w:lang w:eastAsia="ja-JP"/>
        </w:rPr>
      </w:pPr>
      <w:r>
        <w:rPr>
          <w:rFonts w:ascii="Arial" w:hAnsi="Arial" w:cs="Arial"/>
          <w:b/>
          <w:sz w:val="22"/>
          <w:szCs w:val="22"/>
          <w:lang w:val="en-CA" w:eastAsia="ja-JP"/>
        </w:rPr>
        <w:t>Indigenous</w:t>
      </w:r>
      <w:r w:rsidRPr="00A76888">
        <w:rPr>
          <w:rFonts w:ascii="Arial" w:hAnsi="Arial" w:cs="Arial"/>
          <w:b/>
          <w:sz w:val="22"/>
          <w:szCs w:val="22"/>
          <w:lang w:val="en-CA" w:eastAsia="ja-JP"/>
        </w:rPr>
        <w:t xml:space="preserve"> and Equity Group Audience Engagement in the Arts</w:t>
      </w:r>
    </w:p>
    <w:p w:rsidR="00A76888" w:rsidRPr="00A76888" w:rsidRDefault="00A76888" w:rsidP="00EC53F6">
      <w:pPr>
        <w:pStyle w:val="ListParagraph"/>
        <w:numPr>
          <w:ilvl w:val="0"/>
          <w:numId w:val="17"/>
        </w:numPr>
        <w:ind w:left="0" w:firstLine="0"/>
        <w:jc w:val="both"/>
        <w:rPr>
          <w:rFonts w:ascii="Arial" w:hAnsi="Arial" w:cs="Arial"/>
          <w:b/>
          <w:sz w:val="22"/>
          <w:szCs w:val="22"/>
          <w:lang w:eastAsia="ja-JP"/>
        </w:rPr>
      </w:pPr>
      <w:r>
        <w:rPr>
          <w:rFonts w:ascii="Arial" w:hAnsi="Arial" w:cs="Arial"/>
          <w:b/>
          <w:sz w:val="22"/>
          <w:szCs w:val="22"/>
          <w:lang w:eastAsia="ja-JP"/>
        </w:rPr>
        <w:t>Strategies for Moving Forward</w:t>
      </w:r>
    </w:p>
    <w:p w:rsidR="00A76888" w:rsidRPr="00CC29E7" w:rsidRDefault="00A76888" w:rsidP="00EC53F6">
      <w:pPr>
        <w:pStyle w:val="ListParagraph"/>
        <w:widowControl w:val="0"/>
        <w:autoSpaceDE w:val="0"/>
        <w:autoSpaceDN w:val="0"/>
        <w:adjustRightInd w:val="0"/>
        <w:spacing w:after="260"/>
        <w:ind w:left="0"/>
        <w:jc w:val="both"/>
        <w:rPr>
          <w:rFonts w:ascii="Arial" w:hAnsi="Arial" w:cs="Arial"/>
          <w:sz w:val="22"/>
          <w:szCs w:val="22"/>
          <w:lang w:eastAsia="ja-JP"/>
        </w:rPr>
      </w:pPr>
    </w:p>
    <w:p w:rsidR="00AE6101" w:rsidRPr="00097B0B" w:rsidRDefault="00A76888" w:rsidP="00EC53F6">
      <w:pPr>
        <w:ind w:right="-241"/>
        <w:jc w:val="both"/>
        <w:outlineLvl w:val="0"/>
        <w:rPr>
          <w:rFonts w:ascii="Arial" w:hAnsi="Arial" w:cs="Arial"/>
          <w:b/>
          <w:sz w:val="22"/>
          <w:szCs w:val="22"/>
          <w:lang w:val="en-CA"/>
        </w:rPr>
      </w:pPr>
      <w:r>
        <w:rPr>
          <w:rFonts w:ascii="Arial" w:hAnsi="Arial" w:cs="Arial"/>
          <w:b/>
          <w:sz w:val="22"/>
          <w:szCs w:val="22"/>
          <w:lang w:val="en-CA"/>
        </w:rPr>
        <w:t>1.</w:t>
      </w:r>
      <w:r>
        <w:rPr>
          <w:rFonts w:ascii="Arial" w:hAnsi="Arial" w:cs="Arial"/>
          <w:b/>
          <w:sz w:val="22"/>
          <w:szCs w:val="22"/>
          <w:lang w:val="en-CA"/>
        </w:rPr>
        <w:tab/>
      </w:r>
      <w:r w:rsidR="00AE6101" w:rsidRPr="00097B0B">
        <w:rPr>
          <w:rFonts w:ascii="Arial" w:hAnsi="Arial" w:cs="Arial"/>
          <w:b/>
          <w:sz w:val="22"/>
          <w:szCs w:val="22"/>
          <w:lang w:val="en-CA"/>
        </w:rPr>
        <w:t>Population Projections:</w:t>
      </w:r>
    </w:p>
    <w:p w:rsidR="00AE6101" w:rsidRPr="00097B0B" w:rsidRDefault="00AE6101" w:rsidP="00EC53F6">
      <w:pPr>
        <w:ind w:right="-241"/>
        <w:jc w:val="both"/>
        <w:rPr>
          <w:rFonts w:ascii="Arial" w:hAnsi="Arial" w:cs="Arial"/>
          <w:sz w:val="22"/>
          <w:szCs w:val="22"/>
          <w:lang w:val="en-CA"/>
        </w:rPr>
      </w:pP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r w:rsidRPr="00D97922">
        <w:rPr>
          <w:rFonts w:ascii="Arial" w:hAnsi="Arial"/>
          <w:sz w:val="22"/>
          <w:szCs w:val="22"/>
          <w:lang w:val="en-CA" w:eastAsia="ja-JP"/>
        </w:rPr>
        <w:t>‘</w:t>
      </w:r>
      <w:r w:rsidRPr="00D97922">
        <w:rPr>
          <w:rFonts w:ascii="Arial" w:hAnsi="Arial"/>
          <w:b/>
          <w:i/>
          <w:sz w:val="22"/>
          <w:szCs w:val="22"/>
          <w:lang w:val="en-CA" w:eastAsia="ja-JP"/>
        </w:rPr>
        <w:t>Super-diversity’</w:t>
      </w:r>
      <w:r w:rsidRPr="00D97922">
        <w:rPr>
          <w:rFonts w:ascii="Arial" w:hAnsi="Arial"/>
          <w:sz w:val="22"/>
          <w:szCs w:val="22"/>
          <w:lang w:val="en-CA" w:eastAsia="ja-JP"/>
        </w:rPr>
        <w:t>. This is the headline in the Saturday March 12, 2011 article in the Globe and Mail, an article whose by-line reads “Canadian cities are rapidly evolving into a fusion of cultures, religions, sexual orientations, experiences and values. While this mix is vibrant, some question whether social inequalities are putting this asset at risk.”</w:t>
      </w:r>
      <w:r w:rsidRPr="00D97922">
        <w:rPr>
          <w:rStyle w:val="FootnoteReference"/>
          <w:rFonts w:ascii="Arial" w:hAnsi="Arial"/>
          <w:sz w:val="22"/>
          <w:szCs w:val="22"/>
          <w:lang w:val="en-CA" w:eastAsia="ja-JP"/>
        </w:rPr>
        <w:footnoteReference w:id="1"/>
      </w: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r w:rsidRPr="00D97922">
        <w:rPr>
          <w:rFonts w:ascii="Arial" w:hAnsi="Arial"/>
          <w:sz w:val="22"/>
          <w:szCs w:val="22"/>
          <w:lang w:val="en-CA" w:eastAsia="ja-JP"/>
        </w:rPr>
        <w:t xml:space="preserve">According to the 2006 Census, Canada had a population of 31,612,897. A key part of Canada’s population growth has been the increased levels of immigration and the rapid growth of </w:t>
      </w:r>
      <w:r w:rsidR="00A76888">
        <w:rPr>
          <w:rFonts w:ascii="Arial" w:hAnsi="Arial"/>
          <w:sz w:val="22"/>
          <w:szCs w:val="22"/>
          <w:lang w:val="en-CA" w:eastAsia="ja-JP"/>
        </w:rPr>
        <w:t>Indigenous</w:t>
      </w:r>
      <w:r w:rsidRPr="00D97922">
        <w:rPr>
          <w:rFonts w:ascii="Arial" w:hAnsi="Arial"/>
          <w:sz w:val="22"/>
          <w:szCs w:val="22"/>
          <w:lang w:val="en-CA" w:eastAsia="ja-JP"/>
        </w:rPr>
        <w:t xml:space="preserve"> communities</w:t>
      </w:r>
      <w:r w:rsidR="00ED21B3">
        <w:rPr>
          <w:rFonts w:ascii="Arial" w:hAnsi="Arial"/>
          <w:sz w:val="22"/>
          <w:szCs w:val="22"/>
          <w:lang w:val="en-CA" w:eastAsia="ja-JP"/>
        </w:rPr>
        <w:t xml:space="preserve"> and o</w:t>
      </w:r>
      <w:r w:rsidRPr="00D97922">
        <w:rPr>
          <w:rFonts w:ascii="Arial" w:hAnsi="Arial"/>
          <w:sz w:val="22"/>
          <w:szCs w:val="22"/>
          <w:lang w:val="en-CA" w:eastAsia="ja-JP"/>
        </w:rPr>
        <w:t>ther key fac</w:t>
      </w:r>
      <w:r w:rsidR="00ED21B3">
        <w:rPr>
          <w:rFonts w:ascii="Arial" w:hAnsi="Arial"/>
          <w:sz w:val="22"/>
          <w:szCs w:val="22"/>
          <w:lang w:val="en-CA" w:eastAsia="ja-JP"/>
        </w:rPr>
        <w:t xml:space="preserve">tors within Canada’s population, e.g., </w:t>
      </w:r>
      <w:r w:rsidRPr="00D97922">
        <w:rPr>
          <w:rFonts w:ascii="Arial" w:hAnsi="Arial"/>
          <w:sz w:val="22"/>
          <w:szCs w:val="22"/>
          <w:lang w:val="en-CA" w:eastAsia="ja-JP"/>
        </w:rPr>
        <w:t xml:space="preserve">persons with disabilities. </w:t>
      </w: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r w:rsidRPr="00D97922">
        <w:rPr>
          <w:rFonts w:ascii="Arial" w:hAnsi="Arial"/>
          <w:sz w:val="22"/>
          <w:szCs w:val="22"/>
          <w:lang w:val="en-CA" w:eastAsia="ja-JP"/>
        </w:rPr>
        <w:t>As part of these demographic changes, it is evident that in 2006:</w:t>
      </w: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p>
    <w:p w:rsidR="00CC29E7" w:rsidRPr="00D97922" w:rsidRDefault="00CC29E7" w:rsidP="00EC53F6">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sz w:val="22"/>
          <w:szCs w:val="22"/>
          <w:lang w:val="en-CA" w:eastAsia="ja-JP"/>
        </w:rPr>
      </w:pPr>
      <w:r w:rsidRPr="00D97922">
        <w:rPr>
          <w:rFonts w:ascii="Arial" w:hAnsi="Arial"/>
          <w:sz w:val="22"/>
          <w:szCs w:val="22"/>
          <w:lang w:val="en-CA" w:eastAsia="ja-JP"/>
        </w:rPr>
        <w:t>persons with disabilities currently comprise 14.3% of the Canadian population for all ages and 16.6% of those 15 years of age and older;</w:t>
      </w:r>
      <w:r w:rsidRPr="00D97922">
        <w:rPr>
          <w:rStyle w:val="FootnoteReference"/>
          <w:rFonts w:ascii="Arial" w:hAnsi="Arial"/>
          <w:sz w:val="22"/>
          <w:szCs w:val="22"/>
          <w:lang w:val="en-CA" w:eastAsia="ja-JP"/>
        </w:rPr>
        <w:footnoteReference w:id="2"/>
      </w:r>
    </w:p>
    <w:p w:rsidR="00CC29E7" w:rsidRPr="00D97922" w:rsidRDefault="00CC29E7" w:rsidP="00EC53F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jc w:val="both"/>
        <w:rPr>
          <w:rFonts w:ascii="Arial" w:hAnsi="Arial"/>
          <w:sz w:val="22"/>
          <w:szCs w:val="22"/>
          <w:lang w:val="en-CA" w:eastAsia="ja-JP"/>
        </w:rPr>
      </w:pPr>
    </w:p>
    <w:p w:rsidR="00CC29E7" w:rsidRPr="00D97922" w:rsidRDefault="00CC29E7" w:rsidP="00EC53F6">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sz w:val="22"/>
          <w:szCs w:val="22"/>
          <w:lang w:val="en-CA" w:eastAsia="ja-JP"/>
        </w:rPr>
      </w:pPr>
      <w:r w:rsidRPr="00D97922">
        <w:rPr>
          <w:rFonts w:ascii="Arial" w:hAnsi="Arial"/>
          <w:sz w:val="22"/>
          <w:szCs w:val="22"/>
          <w:lang w:val="en-CA" w:eastAsia="ja-JP"/>
        </w:rPr>
        <w:t>47% of Canadian citizens have an ethnic origin that is other than Anglo or French;</w:t>
      </w:r>
    </w:p>
    <w:p w:rsidR="00CC29E7" w:rsidRPr="00D97922" w:rsidRDefault="00CC29E7" w:rsidP="00EC53F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jc w:val="both"/>
        <w:rPr>
          <w:rFonts w:ascii="Arial" w:hAnsi="Arial"/>
          <w:sz w:val="22"/>
          <w:szCs w:val="22"/>
          <w:lang w:val="en-CA" w:eastAsia="ja-JP"/>
        </w:rPr>
      </w:pPr>
    </w:p>
    <w:p w:rsidR="00CC29E7" w:rsidRPr="00D97922" w:rsidRDefault="00CC29E7" w:rsidP="00EC53F6">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sz w:val="22"/>
          <w:szCs w:val="22"/>
          <w:lang w:val="en-CA" w:eastAsia="ja-JP"/>
        </w:rPr>
      </w:pPr>
      <w:r w:rsidRPr="00D97922">
        <w:rPr>
          <w:rFonts w:ascii="Arial" w:hAnsi="Arial"/>
          <w:sz w:val="22"/>
          <w:szCs w:val="22"/>
          <w:lang w:val="en-CA" w:eastAsia="ja-JP"/>
        </w:rPr>
        <w:t>immigration accounts for more than 50% of Canada’s population growth and that immigrants are 100% of net labour force growth in Canada;</w:t>
      </w: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p>
    <w:p w:rsidR="00CC29E7" w:rsidRPr="00D97922" w:rsidRDefault="00CC29E7" w:rsidP="00EC53F6">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sz w:val="22"/>
          <w:szCs w:val="22"/>
          <w:lang w:val="en-CA" w:eastAsia="ja-JP"/>
        </w:rPr>
      </w:pPr>
      <w:r w:rsidRPr="00D97922">
        <w:rPr>
          <w:rFonts w:ascii="Arial" w:hAnsi="Arial"/>
          <w:sz w:val="22"/>
          <w:szCs w:val="22"/>
          <w:lang w:val="en-CA" w:eastAsia="ja-JP"/>
        </w:rPr>
        <w:t>16.2% of Canadians self-identified as racialized (i.e., visible minority);</w:t>
      </w:r>
      <w:r w:rsidRPr="00D97922">
        <w:rPr>
          <w:rStyle w:val="FootnoteReference"/>
          <w:rFonts w:ascii="Arial" w:hAnsi="Arial"/>
          <w:sz w:val="22"/>
          <w:szCs w:val="22"/>
          <w:lang w:val="en-CA" w:eastAsia="ja-JP"/>
        </w:rPr>
        <w:footnoteReference w:id="3"/>
      </w: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p>
    <w:p w:rsidR="00CC29E7" w:rsidRPr="00D97922" w:rsidRDefault="00A76888" w:rsidP="00EC53F6">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sz w:val="22"/>
          <w:szCs w:val="22"/>
          <w:lang w:val="en-CA" w:eastAsia="ja-JP"/>
        </w:rPr>
      </w:pPr>
      <w:r>
        <w:rPr>
          <w:rFonts w:ascii="Arial" w:hAnsi="Arial"/>
          <w:sz w:val="22"/>
          <w:szCs w:val="22"/>
          <w:lang w:val="en-CA" w:eastAsia="ja-JP"/>
        </w:rPr>
        <w:t>Indigenous</w:t>
      </w:r>
      <w:r w:rsidR="00CC29E7" w:rsidRPr="00D97922">
        <w:rPr>
          <w:rFonts w:ascii="Arial" w:hAnsi="Arial"/>
          <w:sz w:val="22"/>
          <w:szCs w:val="22"/>
          <w:lang w:val="en-CA" w:eastAsia="ja-JP"/>
        </w:rPr>
        <w:t xml:space="preserve"> peoples comprise 1,172,790 of the Canadian population for an increase of 45% between 1996 and 2006, almost 6 times more than other communities;</w:t>
      </w: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p>
    <w:p w:rsidR="00CC29E7" w:rsidRPr="00D97922" w:rsidRDefault="00CC29E7" w:rsidP="00EC53F6">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sz w:val="22"/>
          <w:szCs w:val="22"/>
          <w:lang w:val="en-CA" w:eastAsia="ja-JP"/>
        </w:rPr>
      </w:pPr>
      <w:r w:rsidRPr="00D97922">
        <w:rPr>
          <w:rFonts w:ascii="Arial" w:hAnsi="Arial"/>
          <w:sz w:val="22"/>
          <w:szCs w:val="22"/>
          <w:lang w:val="en-CA" w:eastAsia="ja-JP"/>
        </w:rPr>
        <w:t xml:space="preserve">the </w:t>
      </w:r>
      <w:r w:rsidR="00A76888">
        <w:rPr>
          <w:rFonts w:ascii="Arial" w:hAnsi="Arial"/>
          <w:sz w:val="22"/>
          <w:szCs w:val="22"/>
          <w:lang w:val="en-CA" w:eastAsia="ja-JP"/>
        </w:rPr>
        <w:t>Indigenous</w:t>
      </w:r>
      <w:r w:rsidRPr="00D97922">
        <w:rPr>
          <w:rFonts w:ascii="Arial" w:hAnsi="Arial"/>
          <w:sz w:val="22"/>
          <w:szCs w:val="22"/>
          <w:lang w:val="en-CA" w:eastAsia="ja-JP"/>
        </w:rPr>
        <w:t xml:space="preserve"> population has experienced significant growth in Ontario (68%); and 54% of </w:t>
      </w:r>
      <w:r w:rsidR="00A76888">
        <w:rPr>
          <w:rFonts w:ascii="Arial" w:hAnsi="Arial"/>
          <w:sz w:val="22"/>
          <w:szCs w:val="22"/>
          <w:lang w:val="en-CA" w:eastAsia="ja-JP"/>
        </w:rPr>
        <w:t>Indigenous</w:t>
      </w:r>
      <w:r w:rsidRPr="00D97922">
        <w:rPr>
          <w:rFonts w:ascii="Arial" w:hAnsi="Arial"/>
          <w:sz w:val="22"/>
          <w:szCs w:val="22"/>
          <w:lang w:val="en-CA" w:eastAsia="ja-JP"/>
        </w:rPr>
        <w:t xml:space="preserve"> people live in urban areas, an increase of 50% from 1996;</w:t>
      </w: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p>
    <w:p w:rsidR="00CC29E7" w:rsidRPr="00D97922" w:rsidRDefault="00CC29E7" w:rsidP="00EC53F6">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sz w:val="22"/>
          <w:szCs w:val="22"/>
          <w:lang w:val="en-CA" w:eastAsia="ja-JP"/>
        </w:rPr>
      </w:pPr>
      <w:r w:rsidRPr="00D97922">
        <w:rPr>
          <w:rFonts w:ascii="Arial" w:hAnsi="Arial"/>
          <w:sz w:val="22"/>
          <w:szCs w:val="22"/>
          <w:lang w:val="en-CA" w:eastAsia="ja-JP"/>
        </w:rPr>
        <w:t xml:space="preserve">the Métis are the most rapidly growing </w:t>
      </w:r>
      <w:r w:rsidR="00A76888">
        <w:rPr>
          <w:rFonts w:ascii="Arial" w:hAnsi="Arial"/>
          <w:sz w:val="22"/>
          <w:szCs w:val="22"/>
          <w:lang w:val="en-CA" w:eastAsia="ja-JP"/>
        </w:rPr>
        <w:t>Indigenous</w:t>
      </w:r>
      <w:r w:rsidRPr="00D97922">
        <w:rPr>
          <w:rFonts w:ascii="Arial" w:hAnsi="Arial"/>
          <w:sz w:val="22"/>
          <w:szCs w:val="22"/>
          <w:lang w:val="en-CA" w:eastAsia="ja-JP"/>
        </w:rPr>
        <w:t xml:space="preserve"> group in Canada increasing by 91% since 1996, in 2006 they totalled 389,785.</w:t>
      </w:r>
      <w:r w:rsidRPr="00D97922">
        <w:rPr>
          <w:rStyle w:val="FootnoteReference"/>
          <w:rFonts w:ascii="Arial" w:hAnsi="Arial"/>
          <w:sz w:val="22"/>
          <w:szCs w:val="22"/>
          <w:lang w:val="en-CA" w:eastAsia="ja-JP"/>
        </w:rPr>
        <w:footnoteReference w:id="4"/>
      </w: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r w:rsidRPr="00D97922">
        <w:rPr>
          <w:rFonts w:ascii="Arial" w:hAnsi="Arial"/>
          <w:sz w:val="22"/>
          <w:szCs w:val="22"/>
          <w:lang w:val="en-CA" w:eastAsia="ja-JP"/>
        </w:rPr>
        <w:t>Resulting from changes to selection criteria, recent immigrants to Canada are highly educated, skilled and have significant economic capacities. For example, the Conference Board of Canada suggests that immigrants account for 33% of Canada’s economic growth in the past ten years and by 2011 will account for all labour force growth. This report further suggests that racialized peoples currently account for 16% of those in the labour force and that this will increase to close to 18% by 2016.</w:t>
      </w:r>
      <w:r w:rsidRPr="00D97922">
        <w:rPr>
          <w:rStyle w:val="FootnoteReference"/>
          <w:rFonts w:ascii="Arial" w:hAnsi="Arial"/>
          <w:sz w:val="22"/>
          <w:szCs w:val="22"/>
          <w:lang w:val="en-CA" w:eastAsia="ja-JP"/>
        </w:rPr>
        <w:footnoteReference w:id="5"/>
      </w: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r w:rsidRPr="00D97922">
        <w:rPr>
          <w:rFonts w:ascii="Arial" w:hAnsi="Arial"/>
          <w:sz w:val="22"/>
          <w:szCs w:val="22"/>
          <w:lang w:val="en-CA" w:eastAsia="ja-JP"/>
        </w:rPr>
        <w:t>In the cultural sector, the Canadian Conference for the Arts has noted several issues related to the changing demographics of Canada, particularly its urban centres, and has stated that:</w:t>
      </w: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p>
    <w:p w:rsidR="00CC29E7" w:rsidRPr="00D97922" w:rsidRDefault="00CC29E7" w:rsidP="00EC53F6">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sz w:val="22"/>
          <w:szCs w:val="22"/>
          <w:lang w:val="en-CA" w:eastAsia="ja-JP"/>
        </w:rPr>
      </w:pPr>
      <w:r w:rsidRPr="00D97922">
        <w:rPr>
          <w:rFonts w:ascii="Arial" w:hAnsi="Arial"/>
          <w:sz w:val="22"/>
          <w:szCs w:val="22"/>
          <w:lang w:val="en-CA" w:eastAsia="ja-JP"/>
        </w:rPr>
        <w:t xml:space="preserve"> the workforce in the cultural sector must become more representative of the ‘culturally diverse population of Canada’;</w:t>
      </w:r>
    </w:p>
    <w:p w:rsidR="00CC29E7" w:rsidRPr="00D97922" w:rsidRDefault="00CC29E7" w:rsidP="00EC53F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jc w:val="both"/>
        <w:rPr>
          <w:rFonts w:ascii="Arial" w:hAnsi="Arial"/>
          <w:sz w:val="22"/>
          <w:szCs w:val="22"/>
          <w:lang w:val="en-CA" w:eastAsia="ja-JP"/>
        </w:rPr>
      </w:pPr>
    </w:p>
    <w:p w:rsidR="00CC29E7" w:rsidRPr="00D97922" w:rsidRDefault="00CC29E7" w:rsidP="00EC53F6">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sz w:val="22"/>
          <w:szCs w:val="22"/>
          <w:lang w:val="en-CA" w:eastAsia="ja-JP"/>
        </w:rPr>
      </w:pPr>
      <w:r w:rsidRPr="00D97922">
        <w:rPr>
          <w:rFonts w:ascii="Arial" w:hAnsi="Arial"/>
          <w:sz w:val="22"/>
          <w:szCs w:val="22"/>
          <w:lang w:val="en-CA" w:eastAsia="ja-JP"/>
        </w:rPr>
        <w:t xml:space="preserve"> the Canadian labour force is now growing as a result of immigration representing 70% of total labour force growth and that this will increase over the next decades;</w:t>
      </w:r>
    </w:p>
    <w:p w:rsidR="00CC29E7" w:rsidRPr="00D97922" w:rsidRDefault="00CC29E7"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sz w:val="22"/>
          <w:szCs w:val="22"/>
          <w:lang w:val="en-CA" w:eastAsia="ja-JP"/>
        </w:rPr>
      </w:pPr>
    </w:p>
    <w:p w:rsidR="00CC29E7" w:rsidRPr="00D97922" w:rsidRDefault="00CC29E7" w:rsidP="00EC53F6">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sz w:val="22"/>
          <w:szCs w:val="22"/>
          <w:lang w:val="en-CA" w:eastAsia="ja-JP"/>
        </w:rPr>
      </w:pPr>
      <w:r w:rsidRPr="00D97922">
        <w:rPr>
          <w:rFonts w:ascii="Arial" w:hAnsi="Arial"/>
          <w:sz w:val="22"/>
          <w:szCs w:val="22"/>
          <w:lang w:val="en-CA" w:eastAsia="ja-JP"/>
        </w:rPr>
        <w:t xml:space="preserve"> the </w:t>
      </w:r>
      <w:r w:rsidR="00A76888">
        <w:rPr>
          <w:rFonts w:ascii="Arial" w:hAnsi="Arial"/>
          <w:sz w:val="22"/>
          <w:szCs w:val="22"/>
          <w:lang w:val="en-CA" w:eastAsia="ja-JP"/>
        </w:rPr>
        <w:t>Indigenous</w:t>
      </w:r>
      <w:r w:rsidRPr="00D97922">
        <w:rPr>
          <w:rFonts w:ascii="Arial" w:hAnsi="Arial"/>
          <w:sz w:val="22"/>
          <w:szCs w:val="22"/>
          <w:lang w:val="en-CA" w:eastAsia="ja-JP"/>
        </w:rPr>
        <w:t xml:space="preserve"> population is growing more quickly than the rest of Canadian communities and is much younger than its counterparts and </w:t>
      </w:r>
      <w:r w:rsidR="00A76888">
        <w:rPr>
          <w:rFonts w:ascii="Arial" w:hAnsi="Arial"/>
          <w:sz w:val="22"/>
          <w:szCs w:val="22"/>
          <w:lang w:val="en-CA" w:eastAsia="ja-JP"/>
        </w:rPr>
        <w:t>Indigenous</w:t>
      </w:r>
      <w:r w:rsidRPr="00D97922">
        <w:rPr>
          <w:rFonts w:ascii="Arial" w:hAnsi="Arial"/>
          <w:sz w:val="22"/>
          <w:szCs w:val="22"/>
          <w:lang w:val="en-CA" w:eastAsia="ja-JP"/>
        </w:rPr>
        <w:t xml:space="preserve"> youth will form a major part of Canada’s future workforce.</w:t>
      </w:r>
      <w:r w:rsidRPr="00D97922">
        <w:rPr>
          <w:rStyle w:val="FootnoteReference"/>
          <w:rFonts w:ascii="Arial" w:hAnsi="Arial"/>
          <w:sz w:val="22"/>
          <w:szCs w:val="22"/>
          <w:lang w:val="en-CA" w:eastAsia="ja-JP"/>
        </w:rPr>
        <w:footnoteReference w:id="6"/>
      </w:r>
    </w:p>
    <w:p w:rsidR="004043C2" w:rsidRDefault="004043C2" w:rsidP="00EC53F6">
      <w:pPr>
        <w:ind w:right="-241"/>
        <w:jc w:val="both"/>
        <w:rPr>
          <w:rFonts w:ascii="Arial" w:hAnsi="Arial" w:cs="Arial"/>
          <w:sz w:val="22"/>
          <w:szCs w:val="22"/>
          <w:lang w:val="en-CA"/>
        </w:rPr>
      </w:pPr>
    </w:p>
    <w:p w:rsidR="00AE6101" w:rsidRDefault="00AE6101" w:rsidP="00EC53F6">
      <w:pPr>
        <w:ind w:right="-241"/>
        <w:jc w:val="both"/>
        <w:rPr>
          <w:rFonts w:ascii="Arial" w:hAnsi="Arial" w:cs="Arial"/>
          <w:sz w:val="22"/>
          <w:szCs w:val="22"/>
          <w:lang w:val="en-CA"/>
        </w:rPr>
      </w:pPr>
      <w:r w:rsidRPr="00097B0B">
        <w:rPr>
          <w:rFonts w:ascii="Arial" w:hAnsi="Arial" w:cs="Arial"/>
          <w:sz w:val="22"/>
          <w:szCs w:val="22"/>
          <w:lang w:val="en-CA"/>
        </w:rPr>
        <w:t>Most population estimates suggest that the</w:t>
      </w:r>
      <w:r w:rsidR="00ED21B3">
        <w:rPr>
          <w:rFonts w:ascii="Arial" w:hAnsi="Arial" w:cs="Arial"/>
          <w:sz w:val="22"/>
          <w:szCs w:val="22"/>
          <w:lang w:val="en-CA"/>
        </w:rPr>
        <w:t>se</w:t>
      </w:r>
      <w:r w:rsidRPr="00097B0B">
        <w:rPr>
          <w:rFonts w:ascii="Arial" w:hAnsi="Arial" w:cs="Arial"/>
          <w:sz w:val="22"/>
          <w:szCs w:val="22"/>
          <w:lang w:val="en-CA"/>
        </w:rPr>
        <w:t xml:space="preserve"> changes will only accelerate over time and the proportion of </w:t>
      </w:r>
      <w:r w:rsidR="00A76888">
        <w:rPr>
          <w:rFonts w:ascii="Arial" w:hAnsi="Arial" w:cs="Arial"/>
          <w:sz w:val="22"/>
          <w:szCs w:val="22"/>
          <w:lang w:val="en-CA"/>
        </w:rPr>
        <w:t>Indigenous</w:t>
      </w:r>
      <w:r w:rsidRPr="00097B0B">
        <w:rPr>
          <w:rFonts w:ascii="Arial" w:hAnsi="Arial" w:cs="Arial"/>
          <w:sz w:val="22"/>
          <w:szCs w:val="22"/>
          <w:lang w:val="en-CA"/>
        </w:rPr>
        <w:t>, immigrant and racialized communities will continue to increase at rates faster than their European c</w:t>
      </w:r>
      <w:r w:rsidR="00A526AD">
        <w:rPr>
          <w:rFonts w:ascii="Arial" w:hAnsi="Arial" w:cs="Arial"/>
          <w:sz w:val="22"/>
          <w:szCs w:val="22"/>
          <w:lang w:val="en-CA"/>
        </w:rPr>
        <w:t>ounterparts</w:t>
      </w:r>
      <w:r w:rsidRPr="00097B0B">
        <w:rPr>
          <w:rFonts w:ascii="Arial" w:hAnsi="Arial" w:cs="Arial"/>
          <w:sz w:val="22"/>
          <w:szCs w:val="22"/>
          <w:lang w:val="en-CA"/>
        </w:rPr>
        <w:t>.</w:t>
      </w:r>
      <w:r w:rsidRPr="00097B0B">
        <w:rPr>
          <w:rStyle w:val="FootnoteReference"/>
          <w:rFonts w:ascii="Arial" w:hAnsi="Arial" w:cs="Arial"/>
          <w:sz w:val="22"/>
          <w:szCs w:val="22"/>
          <w:lang w:val="en-CA"/>
        </w:rPr>
        <w:footnoteReference w:id="7"/>
      </w:r>
    </w:p>
    <w:p w:rsidR="00ED21B3" w:rsidRPr="00097B0B" w:rsidRDefault="00ED21B3" w:rsidP="00EC53F6">
      <w:pPr>
        <w:ind w:right="-241"/>
        <w:jc w:val="both"/>
        <w:rPr>
          <w:rFonts w:ascii="Arial" w:hAnsi="Arial" w:cs="Arial"/>
          <w:sz w:val="22"/>
          <w:szCs w:val="22"/>
          <w:lang w:val="en-CA"/>
        </w:rPr>
      </w:pPr>
    </w:p>
    <w:p w:rsidR="00AE6101" w:rsidRPr="00097B0B" w:rsidRDefault="00AE6101" w:rsidP="00EC53F6">
      <w:pPr>
        <w:ind w:right="-241"/>
        <w:jc w:val="both"/>
        <w:rPr>
          <w:rFonts w:ascii="Arial" w:hAnsi="Arial" w:cs="Arial"/>
          <w:sz w:val="22"/>
          <w:szCs w:val="22"/>
          <w:lang w:val="en-CA"/>
        </w:rPr>
      </w:pPr>
      <w:r w:rsidRPr="00097B0B">
        <w:rPr>
          <w:rFonts w:ascii="Arial" w:hAnsi="Arial" w:cs="Arial"/>
          <w:sz w:val="22"/>
          <w:szCs w:val="22"/>
          <w:lang w:val="en-CA"/>
        </w:rPr>
        <w:t>For example:</w:t>
      </w:r>
    </w:p>
    <w:p w:rsidR="00AE6101" w:rsidRPr="00097B0B" w:rsidRDefault="00AE6101" w:rsidP="00EC53F6">
      <w:pPr>
        <w:ind w:right="-241"/>
        <w:jc w:val="both"/>
        <w:rPr>
          <w:rFonts w:ascii="Arial" w:hAnsi="Arial" w:cs="Arial"/>
          <w:sz w:val="22"/>
          <w:szCs w:val="22"/>
          <w:lang w:val="en-CA"/>
        </w:rPr>
      </w:pPr>
    </w:p>
    <w:p w:rsidR="00AE6101" w:rsidRPr="00097B0B" w:rsidRDefault="00AE6101" w:rsidP="00EC53F6">
      <w:pPr>
        <w:pStyle w:val="ListParagraph"/>
        <w:widowControl w:val="0"/>
        <w:numPr>
          <w:ilvl w:val="0"/>
          <w:numId w:val="4"/>
        </w:numPr>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 xml:space="preserve">in 2017, racialized peoples will likely be between 19% and 23% of the Canadian population and that racialized communities in the country’s largest urban centres (e.g., the Greater Toronto Area, Vancouver and Richmond B.C.) will be more than 50% of the population. Further, </w:t>
      </w:r>
      <w:r w:rsidR="00A76888">
        <w:rPr>
          <w:rFonts w:ascii="Arial" w:hAnsi="Arial" w:cs="Arial"/>
          <w:sz w:val="22"/>
          <w:szCs w:val="22"/>
          <w:lang w:val="en-CA" w:eastAsia="ja-JP"/>
        </w:rPr>
        <w:t>Indigenous</w:t>
      </w:r>
      <w:r w:rsidRPr="00097B0B">
        <w:rPr>
          <w:rFonts w:ascii="Arial" w:hAnsi="Arial" w:cs="Arial"/>
          <w:sz w:val="22"/>
          <w:szCs w:val="22"/>
          <w:lang w:val="en-CA" w:eastAsia="ja-JP"/>
        </w:rPr>
        <w:t xml:space="preserve"> peoples are likely to comprise 4.1% of the Canadian population;</w:t>
      </w:r>
      <w:r w:rsidRPr="00097B0B">
        <w:rPr>
          <w:rStyle w:val="FootnoteReference"/>
          <w:rFonts w:ascii="Arial" w:hAnsi="Arial" w:cs="Arial"/>
          <w:sz w:val="22"/>
          <w:szCs w:val="22"/>
          <w:lang w:val="en-CA" w:eastAsia="ja-JP"/>
        </w:rPr>
        <w:footnoteReference w:id="8"/>
      </w:r>
    </w:p>
    <w:p w:rsidR="00AE6101" w:rsidRPr="00097B0B" w:rsidRDefault="00AE6101" w:rsidP="00EC53F6">
      <w:pPr>
        <w:pStyle w:val="ListParagraph"/>
        <w:widowControl w:val="0"/>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4"/>
        </w:numPr>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racialized peoples will likely comprise between 29-32% of the Canadian population by 2021 or between 11.4 to 14.4 million people. This population will also have more youth under the age of 15 (36%) and South Asians and East Asians will be the largest of all racialized groups;</w:t>
      </w:r>
    </w:p>
    <w:p w:rsidR="00AE6101" w:rsidRPr="00097B0B" w:rsidRDefault="00AE6101" w:rsidP="00EC53F6">
      <w:pPr>
        <w:widowControl w:val="0"/>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4"/>
        </w:numPr>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Arabs and West Asians are projected to grow the fastest between 2006 and 2031, increasing from 806,000 to 1.1 million Arabs and 457,000 to 592,000 for West Asians between 2006 and 2031;</w:t>
      </w:r>
    </w:p>
    <w:p w:rsidR="00AE6101" w:rsidRPr="00097B0B" w:rsidRDefault="00AE6101" w:rsidP="00EC53F6">
      <w:pPr>
        <w:widowControl w:val="0"/>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4"/>
        </w:numPr>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 xml:space="preserve">Muslims are anticipated to increase to being 50% of those who self-identify as non-Christian; </w:t>
      </w:r>
    </w:p>
    <w:p w:rsidR="00AE6101" w:rsidRPr="00097B0B" w:rsidRDefault="00AE6101" w:rsidP="00EC53F6">
      <w:pPr>
        <w:widowControl w:val="0"/>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4"/>
        </w:numPr>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those whose Mother Tongue is neither English or French will increase to between 29% and 32% by 2031, up from 10% in 1981;</w:t>
      </w:r>
    </w:p>
    <w:p w:rsidR="00AE6101" w:rsidRPr="00097B0B" w:rsidRDefault="00AE6101" w:rsidP="00EC53F6">
      <w:pPr>
        <w:widowControl w:val="0"/>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4"/>
        </w:numPr>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96% of racialized peoples would live in urban areas in 2031 with 72% of these residing in Toronto, Vancouver and Montreal;</w:t>
      </w:r>
    </w:p>
    <w:p w:rsidR="00AE6101" w:rsidRPr="00097B0B" w:rsidRDefault="00AE6101" w:rsidP="00EC53F6">
      <w:pPr>
        <w:widowControl w:val="0"/>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4"/>
        </w:numPr>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55% of those living in urban centres are anticipated to be immigrants in 2031 with Toronto and Vancouver expected to reach 78% and 70% respectively;</w:t>
      </w:r>
    </w:p>
    <w:p w:rsidR="00AE6101" w:rsidRPr="00097B0B" w:rsidRDefault="00AE6101" w:rsidP="00EC53F6">
      <w:pPr>
        <w:widowControl w:val="0"/>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4"/>
        </w:numPr>
        <w:tabs>
          <w:tab w:val="left" w:pos="567"/>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60% of those living in Toronto and Vancouver will likely be racialized peoples in 2031 and they will likely be 31% of those residing in Montreal.</w:t>
      </w:r>
      <w:r w:rsidRPr="00097B0B">
        <w:rPr>
          <w:rStyle w:val="FootnoteReference"/>
          <w:rFonts w:ascii="Arial" w:hAnsi="Arial" w:cs="Arial"/>
          <w:sz w:val="22"/>
          <w:szCs w:val="22"/>
          <w:lang w:val="en-CA" w:eastAsia="ja-JP"/>
        </w:rPr>
        <w:footnoteReference w:id="9"/>
      </w:r>
    </w:p>
    <w:p w:rsidR="00AE6101" w:rsidRPr="00097B0B" w:rsidRDefault="00AE6101" w:rsidP="00EC53F6">
      <w:pPr>
        <w:tabs>
          <w:tab w:val="left" w:pos="567"/>
        </w:tabs>
        <w:ind w:right="-241"/>
        <w:jc w:val="both"/>
        <w:rPr>
          <w:rFonts w:ascii="Arial" w:hAnsi="Arial" w:cs="Arial"/>
          <w:sz w:val="22"/>
          <w:szCs w:val="22"/>
          <w:lang w:val="en-CA"/>
        </w:rPr>
      </w:pPr>
    </w:p>
    <w:p w:rsidR="00A526AD" w:rsidRDefault="00A526AD" w:rsidP="00EC53F6">
      <w:pPr>
        <w:ind w:right="-241"/>
        <w:jc w:val="both"/>
        <w:rPr>
          <w:rFonts w:ascii="Arial" w:hAnsi="Arial" w:cs="Arial"/>
          <w:sz w:val="22"/>
          <w:szCs w:val="22"/>
          <w:lang w:val="en-CA"/>
        </w:rPr>
      </w:pPr>
      <w:r>
        <w:rPr>
          <w:rFonts w:ascii="Arial" w:hAnsi="Arial" w:cs="Arial"/>
          <w:sz w:val="22"/>
          <w:szCs w:val="22"/>
          <w:lang w:val="en-CA"/>
        </w:rPr>
        <w:t xml:space="preserve">Several Ontario </w:t>
      </w:r>
      <w:r w:rsidRPr="00097B0B">
        <w:rPr>
          <w:rFonts w:ascii="Arial" w:hAnsi="Arial" w:cs="Arial"/>
          <w:sz w:val="22"/>
          <w:szCs w:val="22"/>
          <w:lang w:val="en-CA"/>
        </w:rPr>
        <w:t>cities have already witnessed changes in the numerical majority of their communities and most of this has come about during the last twenty years, a short period of time</w:t>
      </w:r>
      <w:r>
        <w:rPr>
          <w:rFonts w:ascii="Arial" w:hAnsi="Arial" w:cs="Arial"/>
          <w:sz w:val="22"/>
          <w:szCs w:val="22"/>
          <w:lang w:val="en-CA"/>
        </w:rPr>
        <w:t>.</w:t>
      </w:r>
    </w:p>
    <w:p w:rsidR="00A526AD" w:rsidRDefault="00A526AD" w:rsidP="00EC53F6">
      <w:pPr>
        <w:ind w:right="-241"/>
        <w:jc w:val="both"/>
        <w:rPr>
          <w:rFonts w:ascii="Arial" w:hAnsi="Arial" w:cs="Arial"/>
          <w:sz w:val="22"/>
          <w:szCs w:val="22"/>
          <w:lang w:val="en-CA"/>
        </w:rPr>
      </w:pPr>
    </w:p>
    <w:p w:rsidR="00EC53F6" w:rsidRPr="00C21ED0" w:rsidRDefault="00EC53F6" w:rsidP="00EC53F6">
      <w:pPr>
        <w:ind w:right="-241"/>
        <w:jc w:val="both"/>
        <w:rPr>
          <w:rFonts w:ascii="Arial" w:hAnsi="Arial" w:cs="Arial"/>
          <w:sz w:val="22"/>
          <w:szCs w:val="22"/>
          <w:lang w:val="en-CA"/>
        </w:rPr>
      </w:pPr>
      <w:r w:rsidRPr="00C21ED0">
        <w:rPr>
          <w:rFonts w:ascii="Arial" w:hAnsi="Arial" w:cs="Arial"/>
          <w:sz w:val="22"/>
          <w:szCs w:val="22"/>
          <w:lang w:val="en-CA"/>
        </w:rPr>
        <w:t>In 2006, 19.1% of the Ontario population was comprised of individuals from racialized communities. This is the most significant population centre for these communities comprising over 2.2 million peoples and representing 54% of all racialized peoples in Canada.</w:t>
      </w:r>
      <w:r w:rsidRPr="00C21ED0">
        <w:rPr>
          <w:rStyle w:val="FootnoteReference"/>
          <w:rFonts w:ascii="Arial" w:hAnsi="Arial" w:cs="Arial"/>
          <w:sz w:val="22"/>
          <w:szCs w:val="22"/>
          <w:lang w:val="en-CA"/>
        </w:rPr>
        <w:footnoteReference w:id="10"/>
      </w:r>
      <w:r w:rsidRPr="00C21ED0">
        <w:rPr>
          <w:rFonts w:ascii="Arial" w:hAnsi="Arial" w:cs="Arial"/>
          <w:sz w:val="22"/>
          <w:szCs w:val="22"/>
          <w:lang w:val="en-CA"/>
        </w:rPr>
        <w:t xml:space="preserve"> Aboriginal peoples comprised 3.3% of Canada’s population with Ontario as the place where most of these individuals reside (188,315).</w:t>
      </w:r>
      <w:r w:rsidRPr="00C21ED0">
        <w:rPr>
          <w:rStyle w:val="FootnoteReference"/>
          <w:rFonts w:ascii="Arial" w:hAnsi="Arial" w:cs="Arial"/>
          <w:sz w:val="22"/>
          <w:szCs w:val="22"/>
          <w:lang w:val="en-CA"/>
        </w:rPr>
        <w:footnoteReference w:id="11"/>
      </w:r>
    </w:p>
    <w:p w:rsidR="00EC53F6" w:rsidRDefault="00EC53F6" w:rsidP="00EC53F6">
      <w:pPr>
        <w:tabs>
          <w:tab w:val="left" w:pos="540"/>
        </w:tabs>
        <w:ind w:right="-241"/>
        <w:jc w:val="both"/>
        <w:rPr>
          <w:rFonts w:ascii="Arial" w:hAnsi="Arial" w:cs="Arial"/>
          <w:sz w:val="22"/>
          <w:szCs w:val="22"/>
          <w:lang w:val="en-CA"/>
        </w:rPr>
      </w:pPr>
    </w:p>
    <w:p w:rsidR="00EC53F6" w:rsidRPr="00C21ED0" w:rsidRDefault="00EC53F6" w:rsidP="00EC53F6">
      <w:pPr>
        <w:tabs>
          <w:tab w:val="left" w:pos="540"/>
        </w:tabs>
        <w:ind w:right="-241"/>
        <w:jc w:val="both"/>
        <w:rPr>
          <w:rFonts w:ascii="Arial" w:hAnsi="Arial" w:cs="Arial"/>
          <w:sz w:val="22"/>
          <w:szCs w:val="22"/>
          <w:lang w:val="en-CA"/>
        </w:rPr>
      </w:pPr>
      <w:r w:rsidRPr="00C21ED0">
        <w:rPr>
          <w:rFonts w:ascii="Arial" w:hAnsi="Arial" w:cs="Arial"/>
          <w:sz w:val="22"/>
          <w:szCs w:val="22"/>
          <w:lang w:val="en-CA"/>
        </w:rPr>
        <w:t>Some of the key details for this diverse population are that:</w:t>
      </w:r>
      <w:r w:rsidRPr="00C21ED0">
        <w:rPr>
          <w:rStyle w:val="FootnoteReference"/>
          <w:rFonts w:ascii="Arial" w:hAnsi="Arial" w:cs="Arial"/>
          <w:sz w:val="22"/>
          <w:szCs w:val="22"/>
          <w:lang w:val="en-CA"/>
        </w:rPr>
        <w:footnoteReference w:id="12"/>
      </w:r>
    </w:p>
    <w:p w:rsidR="00EC53F6" w:rsidRPr="00C21ED0" w:rsidRDefault="00EC53F6" w:rsidP="00EC53F6">
      <w:pPr>
        <w:tabs>
          <w:tab w:val="left" w:pos="540"/>
        </w:tabs>
        <w:ind w:right="-241"/>
        <w:jc w:val="both"/>
        <w:rPr>
          <w:rFonts w:ascii="Arial" w:hAnsi="Arial" w:cs="Arial"/>
          <w:sz w:val="22"/>
          <w:szCs w:val="22"/>
          <w:lang w:val="en-CA"/>
        </w:rPr>
      </w:pPr>
    </w:p>
    <w:p w:rsidR="00EC53F6" w:rsidRPr="00C21ED0" w:rsidRDefault="00EC53F6" w:rsidP="00EC53F6">
      <w:pPr>
        <w:numPr>
          <w:ilvl w:val="0"/>
          <w:numId w:val="20"/>
        </w:numPr>
        <w:tabs>
          <w:tab w:val="left" w:pos="540"/>
        </w:tabs>
        <w:ind w:right="-241"/>
        <w:jc w:val="both"/>
        <w:rPr>
          <w:rFonts w:ascii="Arial" w:hAnsi="Arial" w:cs="Arial"/>
          <w:sz w:val="22"/>
          <w:szCs w:val="22"/>
          <w:lang w:val="en-CA"/>
        </w:rPr>
      </w:pPr>
      <w:r w:rsidRPr="00C21ED0">
        <w:rPr>
          <w:rFonts w:ascii="Arial" w:hAnsi="Arial" w:cs="Arial"/>
          <w:sz w:val="22"/>
          <w:szCs w:val="22"/>
          <w:lang w:val="en-CA"/>
        </w:rPr>
        <w:t>Between 2001 and 2006, the non-English/non-French mother tongue speaking population grew 13% from 2,672,085 to 3,134,045, almost triple the province’s total population growth of 6.6%;</w:t>
      </w:r>
      <w:r w:rsidRPr="00C21ED0">
        <w:rPr>
          <w:rStyle w:val="FootnoteReference"/>
          <w:rFonts w:ascii="Arial" w:hAnsi="Arial" w:cs="Arial"/>
          <w:sz w:val="22"/>
          <w:szCs w:val="22"/>
          <w:lang w:val="en-CA"/>
        </w:rPr>
        <w:footnoteReference w:id="13"/>
      </w:r>
    </w:p>
    <w:p w:rsidR="00EC53F6" w:rsidRPr="00C21ED0" w:rsidRDefault="00EC53F6" w:rsidP="00EC53F6">
      <w:pPr>
        <w:tabs>
          <w:tab w:val="left" w:pos="540"/>
        </w:tabs>
        <w:ind w:left="720" w:right="-241"/>
        <w:jc w:val="both"/>
        <w:rPr>
          <w:rFonts w:ascii="Arial" w:hAnsi="Arial" w:cs="Arial"/>
          <w:sz w:val="22"/>
          <w:szCs w:val="22"/>
          <w:lang w:val="en-CA"/>
        </w:rPr>
      </w:pPr>
    </w:p>
    <w:p w:rsidR="00EC53F6" w:rsidRPr="00C21ED0" w:rsidRDefault="00EC53F6" w:rsidP="00EC53F6">
      <w:pPr>
        <w:numPr>
          <w:ilvl w:val="0"/>
          <w:numId w:val="20"/>
        </w:numPr>
        <w:tabs>
          <w:tab w:val="left" w:pos="540"/>
        </w:tabs>
        <w:ind w:right="-241"/>
        <w:jc w:val="both"/>
        <w:rPr>
          <w:rFonts w:ascii="Arial" w:hAnsi="Arial" w:cs="Arial"/>
          <w:sz w:val="22"/>
          <w:szCs w:val="22"/>
          <w:lang w:val="en-CA"/>
        </w:rPr>
      </w:pPr>
      <w:r w:rsidRPr="00C21ED0">
        <w:rPr>
          <w:rFonts w:ascii="Arial" w:hAnsi="Arial" w:cs="Arial"/>
          <w:sz w:val="22"/>
          <w:szCs w:val="22"/>
          <w:lang w:val="en-CA"/>
        </w:rPr>
        <w:t>Aboriginal communities increased by 28.8% during this same period, growing from 188,315 to 242,490, and now comprising 2% of the Ontario population;</w:t>
      </w:r>
      <w:r w:rsidRPr="00C21ED0">
        <w:rPr>
          <w:rStyle w:val="FootnoteReference"/>
          <w:rFonts w:ascii="Arial" w:hAnsi="Arial" w:cs="Arial"/>
          <w:sz w:val="22"/>
          <w:szCs w:val="22"/>
          <w:lang w:val="en-CA"/>
        </w:rPr>
        <w:footnoteReference w:id="14"/>
      </w:r>
    </w:p>
    <w:p w:rsidR="00EC53F6" w:rsidRPr="00C21ED0" w:rsidRDefault="00EC53F6" w:rsidP="00EC53F6">
      <w:pPr>
        <w:tabs>
          <w:tab w:val="left" w:pos="540"/>
        </w:tabs>
        <w:ind w:right="-241"/>
        <w:jc w:val="both"/>
        <w:rPr>
          <w:rFonts w:ascii="Arial" w:hAnsi="Arial" w:cs="Arial"/>
          <w:sz w:val="22"/>
          <w:szCs w:val="22"/>
          <w:lang w:val="en-CA"/>
        </w:rPr>
      </w:pPr>
    </w:p>
    <w:p w:rsidR="00EC53F6" w:rsidRPr="00C21ED0" w:rsidRDefault="00EC53F6" w:rsidP="00EC53F6">
      <w:pPr>
        <w:numPr>
          <w:ilvl w:val="0"/>
          <w:numId w:val="20"/>
        </w:numPr>
        <w:tabs>
          <w:tab w:val="left" w:pos="540"/>
        </w:tabs>
        <w:ind w:right="-241"/>
        <w:jc w:val="both"/>
        <w:rPr>
          <w:rFonts w:ascii="Arial" w:hAnsi="Arial" w:cs="Arial"/>
          <w:sz w:val="22"/>
          <w:szCs w:val="22"/>
          <w:lang w:val="en-CA"/>
        </w:rPr>
      </w:pPr>
      <w:r w:rsidRPr="00C21ED0">
        <w:rPr>
          <w:rFonts w:ascii="Arial" w:hAnsi="Arial" w:cs="Arial"/>
          <w:sz w:val="22"/>
          <w:szCs w:val="22"/>
          <w:lang w:val="en-CA"/>
        </w:rPr>
        <w:t>More than 25% of the province’s peoples are foreign-born, far higher than the national average (19.8%), with 17% of this population arriving in Ontario between 2001 and 2006 or 580,740 people;</w:t>
      </w:r>
      <w:r w:rsidRPr="00C21ED0">
        <w:rPr>
          <w:rStyle w:val="FootnoteReference"/>
          <w:rFonts w:ascii="Arial" w:hAnsi="Arial" w:cs="Arial"/>
          <w:sz w:val="22"/>
          <w:szCs w:val="22"/>
          <w:lang w:val="en-CA"/>
        </w:rPr>
        <w:footnoteReference w:id="15"/>
      </w:r>
      <w:r w:rsidRPr="00C21ED0">
        <w:rPr>
          <w:rFonts w:ascii="Arial" w:hAnsi="Arial" w:cs="Arial"/>
          <w:sz w:val="22"/>
          <w:szCs w:val="22"/>
          <w:lang w:val="en-CA"/>
        </w:rPr>
        <w:t xml:space="preserve"> and</w:t>
      </w:r>
    </w:p>
    <w:p w:rsidR="00EC53F6" w:rsidRPr="00C21ED0" w:rsidRDefault="00EC53F6" w:rsidP="00EC53F6">
      <w:pPr>
        <w:tabs>
          <w:tab w:val="left" w:pos="540"/>
        </w:tabs>
        <w:ind w:right="-241"/>
        <w:jc w:val="both"/>
        <w:rPr>
          <w:rFonts w:ascii="Arial" w:hAnsi="Arial" w:cs="Arial"/>
          <w:sz w:val="22"/>
          <w:szCs w:val="22"/>
          <w:lang w:val="en-CA"/>
        </w:rPr>
      </w:pPr>
    </w:p>
    <w:p w:rsidR="00EC53F6" w:rsidRDefault="00EC53F6" w:rsidP="00EC53F6">
      <w:pPr>
        <w:numPr>
          <w:ilvl w:val="0"/>
          <w:numId w:val="20"/>
        </w:numPr>
        <w:tabs>
          <w:tab w:val="left" w:pos="540"/>
        </w:tabs>
        <w:ind w:right="-241"/>
        <w:jc w:val="both"/>
        <w:rPr>
          <w:rFonts w:ascii="Arial" w:hAnsi="Arial" w:cs="Arial"/>
          <w:sz w:val="22"/>
          <w:szCs w:val="22"/>
          <w:lang w:val="en-CA"/>
        </w:rPr>
      </w:pPr>
      <w:r w:rsidRPr="00C21ED0">
        <w:rPr>
          <w:rFonts w:ascii="Arial" w:hAnsi="Arial" w:cs="Arial"/>
          <w:sz w:val="22"/>
          <w:szCs w:val="22"/>
          <w:lang w:val="en-CA"/>
        </w:rPr>
        <w:t>There are 1,853,570 persons with disabilities in Ontario or 15.5% of the provincial population.</w:t>
      </w:r>
      <w:r w:rsidRPr="00C21ED0">
        <w:rPr>
          <w:rStyle w:val="FootnoteReference"/>
          <w:rFonts w:ascii="Arial" w:hAnsi="Arial" w:cs="Arial"/>
          <w:sz w:val="22"/>
          <w:szCs w:val="22"/>
          <w:lang w:val="en-CA"/>
        </w:rPr>
        <w:footnoteReference w:id="16"/>
      </w:r>
    </w:p>
    <w:p w:rsidR="00EC53F6" w:rsidRDefault="00EC53F6" w:rsidP="00EC53F6">
      <w:pPr>
        <w:tabs>
          <w:tab w:val="left" w:pos="540"/>
        </w:tabs>
        <w:ind w:right="-241"/>
        <w:jc w:val="both"/>
        <w:rPr>
          <w:rFonts w:ascii="Arial" w:hAnsi="Arial" w:cs="Arial"/>
          <w:sz w:val="22"/>
          <w:szCs w:val="22"/>
          <w:lang w:val="en-CA"/>
        </w:rPr>
      </w:pPr>
    </w:p>
    <w:p w:rsidR="00AE6101" w:rsidRPr="00A526AD" w:rsidRDefault="00AE6101" w:rsidP="00EC53F6">
      <w:pPr>
        <w:tabs>
          <w:tab w:val="left" w:pos="540"/>
        </w:tabs>
        <w:ind w:right="-241"/>
        <w:jc w:val="both"/>
        <w:rPr>
          <w:b/>
          <w:i/>
          <w:lang w:val="en-CA"/>
        </w:rPr>
      </w:pPr>
      <w:r w:rsidRPr="00097B0B">
        <w:rPr>
          <w:rFonts w:ascii="Arial" w:hAnsi="Arial" w:cs="Arial"/>
          <w:sz w:val="22"/>
          <w:szCs w:val="22"/>
          <w:lang w:val="en-CA"/>
        </w:rPr>
        <w:t xml:space="preserve">These figures indicate an apparently irreversible trend in terms of the growth of the Canadian population over the next two decades. These changes will have significant impact socially and culturally and will require those in the arts to analyze and assess the significance of these demographic changes as they relate to artistic expression, funding policies and financial commitments, peer assessment and criteria and other elements of the arts ecology.  Coming to accept and work with this is inevitable. </w:t>
      </w:r>
    </w:p>
    <w:p w:rsidR="00AE6101" w:rsidRPr="00097B0B" w:rsidRDefault="00AE6101" w:rsidP="00EC53F6">
      <w:pPr>
        <w:ind w:right="-241"/>
        <w:jc w:val="both"/>
        <w:rPr>
          <w:rFonts w:ascii="Arial" w:hAnsi="Arial" w:cs="Arial"/>
          <w:sz w:val="22"/>
          <w:szCs w:val="22"/>
          <w:lang w:val="en-CA"/>
        </w:rPr>
      </w:pPr>
    </w:p>
    <w:p w:rsidR="004043C2" w:rsidRDefault="004043C2" w:rsidP="00EC53F6">
      <w:pPr>
        <w:outlineLvl w:val="0"/>
        <w:rPr>
          <w:rFonts w:ascii="Arial" w:hAnsi="Arial" w:cs="Arial"/>
          <w:b/>
          <w:sz w:val="22"/>
          <w:szCs w:val="22"/>
          <w:lang w:val="en-CA" w:eastAsia="ja-JP"/>
        </w:rPr>
      </w:pPr>
    </w:p>
    <w:p w:rsidR="00AE6101" w:rsidRPr="00097B0B" w:rsidRDefault="00A76888" w:rsidP="00641A67">
      <w:pPr>
        <w:ind w:left="720" w:hanging="720"/>
        <w:outlineLvl w:val="0"/>
        <w:rPr>
          <w:rFonts w:ascii="Arial" w:hAnsi="Arial" w:cs="Arial"/>
          <w:b/>
          <w:sz w:val="22"/>
          <w:szCs w:val="22"/>
          <w:lang w:val="en-CA"/>
        </w:rPr>
      </w:pPr>
      <w:r>
        <w:rPr>
          <w:rFonts w:ascii="Arial" w:hAnsi="Arial" w:cs="Arial"/>
          <w:b/>
          <w:sz w:val="22"/>
          <w:szCs w:val="22"/>
          <w:lang w:val="en-CA" w:eastAsia="ja-JP"/>
        </w:rPr>
        <w:t>2</w:t>
      </w:r>
      <w:r w:rsidR="00AE6101" w:rsidRPr="00097B0B">
        <w:rPr>
          <w:rFonts w:ascii="Arial" w:hAnsi="Arial" w:cs="Arial"/>
          <w:b/>
          <w:sz w:val="22"/>
          <w:szCs w:val="22"/>
          <w:lang w:val="en-CA" w:eastAsia="ja-JP"/>
        </w:rPr>
        <w:t>.</w:t>
      </w:r>
      <w:r w:rsidR="00641A67">
        <w:rPr>
          <w:rFonts w:ascii="Arial" w:hAnsi="Arial" w:cs="Arial"/>
          <w:b/>
          <w:sz w:val="22"/>
          <w:szCs w:val="22"/>
          <w:lang w:val="en-CA" w:eastAsia="ja-JP"/>
        </w:rPr>
        <w:tab/>
        <w:t>Growth and Socio-E</w:t>
      </w:r>
      <w:r w:rsidR="00AE6101" w:rsidRPr="00097B0B">
        <w:rPr>
          <w:rFonts w:ascii="Arial" w:hAnsi="Arial" w:cs="Arial"/>
          <w:b/>
          <w:sz w:val="22"/>
          <w:szCs w:val="22"/>
          <w:lang w:val="en-CA" w:eastAsia="ja-JP"/>
        </w:rPr>
        <w:t xml:space="preserve">conomic Characteristics of </w:t>
      </w:r>
      <w:r>
        <w:rPr>
          <w:rFonts w:ascii="Arial" w:hAnsi="Arial" w:cs="Arial"/>
          <w:b/>
          <w:sz w:val="22"/>
          <w:szCs w:val="22"/>
          <w:lang w:val="en-CA" w:eastAsia="ja-JP"/>
        </w:rPr>
        <w:t>Indigenous</w:t>
      </w:r>
      <w:r w:rsidR="00AE6101" w:rsidRPr="00097B0B">
        <w:rPr>
          <w:rFonts w:ascii="Arial" w:hAnsi="Arial" w:cs="Arial"/>
          <w:b/>
          <w:sz w:val="22"/>
          <w:szCs w:val="22"/>
          <w:lang w:val="en-CA" w:eastAsia="ja-JP"/>
        </w:rPr>
        <w:t xml:space="preserve"> and Equity Group Artists:</w:t>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ind w:right="-241"/>
        <w:jc w:val="both"/>
        <w:rPr>
          <w:rFonts w:ascii="Arial" w:hAnsi="Arial" w:cs="Arial"/>
          <w:sz w:val="22"/>
          <w:szCs w:val="22"/>
          <w:lang w:val="en-CA" w:eastAsia="ja-JP"/>
        </w:rPr>
      </w:pPr>
      <w:r w:rsidRPr="00097B0B">
        <w:rPr>
          <w:rFonts w:ascii="Arial" w:hAnsi="Arial" w:cs="Arial"/>
          <w:sz w:val="22"/>
          <w:szCs w:val="22"/>
          <w:lang w:val="en-CA" w:eastAsia="ja-JP"/>
        </w:rPr>
        <w:t xml:space="preserve">The </w:t>
      </w:r>
      <w:r w:rsidR="00A526AD">
        <w:rPr>
          <w:rFonts w:ascii="Arial" w:hAnsi="Arial" w:cs="Arial"/>
          <w:sz w:val="22"/>
          <w:szCs w:val="22"/>
          <w:lang w:val="en-CA" w:eastAsia="ja-JP"/>
        </w:rPr>
        <w:t>impact of I</w:t>
      </w:r>
      <w:r w:rsidR="004043C2">
        <w:rPr>
          <w:rFonts w:ascii="Arial" w:hAnsi="Arial" w:cs="Arial"/>
          <w:sz w:val="22"/>
          <w:szCs w:val="22"/>
          <w:lang w:val="en-CA" w:eastAsia="ja-JP"/>
        </w:rPr>
        <w:t xml:space="preserve">ndigenous influence in the public domain combined with the </w:t>
      </w:r>
      <w:r w:rsidRPr="00097B0B">
        <w:rPr>
          <w:rFonts w:ascii="Arial" w:hAnsi="Arial" w:cs="Arial"/>
          <w:sz w:val="22"/>
          <w:szCs w:val="22"/>
          <w:lang w:val="en-CA" w:eastAsia="ja-JP"/>
        </w:rPr>
        <w:t xml:space="preserve">change in demographics is evident in the growth of artists from </w:t>
      </w:r>
      <w:r w:rsidR="00A76888">
        <w:rPr>
          <w:rFonts w:ascii="Arial" w:hAnsi="Arial" w:cs="Arial"/>
          <w:sz w:val="22"/>
          <w:szCs w:val="22"/>
          <w:lang w:val="en-CA" w:eastAsia="ja-JP"/>
        </w:rPr>
        <w:t>Indigenous</w:t>
      </w:r>
      <w:r w:rsidRPr="00097B0B">
        <w:rPr>
          <w:rFonts w:ascii="Arial" w:hAnsi="Arial" w:cs="Arial"/>
          <w:sz w:val="22"/>
          <w:szCs w:val="22"/>
          <w:lang w:val="en-CA" w:eastAsia="ja-JP"/>
        </w:rPr>
        <w:t xml:space="preserve"> and equity group communities</w:t>
      </w:r>
      <w:r w:rsidR="00A526AD">
        <w:rPr>
          <w:rFonts w:ascii="Arial" w:hAnsi="Arial" w:cs="Arial"/>
          <w:sz w:val="22"/>
          <w:szCs w:val="22"/>
          <w:lang w:val="en-CA" w:eastAsia="ja-JP"/>
        </w:rPr>
        <w:t>, i.e. racialized, the deaf, differently-abled, mad etc</w:t>
      </w:r>
      <w:r w:rsidRPr="00097B0B">
        <w:rPr>
          <w:rFonts w:ascii="Arial" w:hAnsi="Arial" w:cs="Arial"/>
          <w:sz w:val="22"/>
          <w:szCs w:val="22"/>
          <w:lang w:val="en-CA" w:eastAsia="ja-JP"/>
        </w:rPr>
        <w:t xml:space="preserve">. Trends in these areas will increase almost exponentially given the growth of </w:t>
      </w:r>
      <w:r w:rsidR="00A76888">
        <w:rPr>
          <w:rFonts w:ascii="Arial" w:hAnsi="Arial" w:cs="Arial"/>
          <w:sz w:val="22"/>
          <w:szCs w:val="22"/>
          <w:lang w:val="en-CA" w:eastAsia="ja-JP"/>
        </w:rPr>
        <w:t>Indigenous</w:t>
      </w:r>
      <w:r w:rsidRPr="00097B0B">
        <w:rPr>
          <w:rFonts w:ascii="Arial" w:hAnsi="Arial" w:cs="Arial"/>
          <w:sz w:val="22"/>
          <w:szCs w:val="22"/>
          <w:lang w:val="en-CA" w:eastAsia="ja-JP"/>
        </w:rPr>
        <w:t xml:space="preserve"> and</w:t>
      </w:r>
      <w:r w:rsidR="004043C2">
        <w:rPr>
          <w:rFonts w:ascii="Arial" w:hAnsi="Arial" w:cs="Arial"/>
          <w:sz w:val="22"/>
          <w:szCs w:val="22"/>
          <w:lang w:val="en-CA" w:eastAsia="ja-JP"/>
        </w:rPr>
        <w:t xml:space="preserve"> equity communities and artists</w:t>
      </w:r>
      <w:r w:rsidRPr="00097B0B">
        <w:rPr>
          <w:rFonts w:ascii="Arial" w:hAnsi="Arial" w:cs="Arial"/>
          <w:sz w:val="22"/>
          <w:szCs w:val="22"/>
          <w:lang w:val="en-CA" w:eastAsia="ja-JP"/>
        </w:rPr>
        <w:t xml:space="preserve">. There is little statistical data on persons </w:t>
      </w:r>
      <w:r w:rsidR="00641A67">
        <w:rPr>
          <w:rFonts w:ascii="Arial" w:hAnsi="Arial" w:cs="Arial"/>
          <w:sz w:val="22"/>
          <w:szCs w:val="22"/>
          <w:lang w:val="en-CA" w:eastAsia="ja-JP"/>
        </w:rPr>
        <w:t>differently-abled</w:t>
      </w:r>
      <w:r w:rsidRPr="00097B0B">
        <w:rPr>
          <w:rFonts w:ascii="Arial" w:hAnsi="Arial" w:cs="Arial"/>
          <w:sz w:val="22"/>
          <w:szCs w:val="22"/>
          <w:lang w:val="en-CA" w:eastAsia="ja-JP"/>
        </w:rPr>
        <w:t xml:space="preserve">in the arts; however, there is anecdotal information that is useful to understanding the challenges these artists face. </w:t>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r w:rsidRPr="00097B0B">
        <w:rPr>
          <w:rFonts w:ascii="Arial" w:hAnsi="Arial" w:cs="Arial"/>
          <w:sz w:val="22"/>
          <w:szCs w:val="22"/>
          <w:lang w:val="en-CA" w:eastAsia="ja-JP"/>
        </w:rPr>
        <w:t xml:space="preserve">The socio-economic achievement for </w:t>
      </w:r>
      <w:r w:rsidR="00A76888">
        <w:rPr>
          <w:rFonts w:ascii="Arial" w:hAnsi="Arial" w:cs="Arial"/>
          <w:sz w:val="22"/>
          <w:szCs w:val="22"/>
          <w:lang w:val="en-CA" w:eastAsia="ja-JP"/>
        </w:rPr>
        <w:t>Indigenous</w:t>
      </w:r>
      <w:r w:rsidRPr="00097B0B">
        <w:rPr>
          <w:rFonts w:ascii="Arial" w:hAnsi="Arial" w:cs="Arial"/>
          <w:sz w:val="22"/>
          <w:szCs w:val="22"/>
          <w:lang w:val="en-CA" w:eastAsia="ja-JP"/>
        </w:rPr>
        <w:t xml:space="preserve"> and equity group artists is somewhat similar to the performance of these communities in other sectors of society. For example, it has been consistently documented that </w:t>
      </w:r>
      <w:r w:rsidR="00A76888">
        <w:rPr>
          <w:rFonts w:ascii="Arial" w:hAnsi="Arial" w:cs="Arial"/>
          <w:sz w:val="22"/>
          <w:szCs w:val="22"/>
          <w:lang w:val="en-CA" w:eastAsia="ja-JP"/>
        </w:rPr>
        <w:t>Indigenous</w:t>
      </w:r>
      <w:r>
        <w:rPr>
          <w:rFonts w:ascii="Arial" w:hAnsi="Arial" w:cs="Arial"/>
          <w:sz w:val="22"/>
          <w:szCs w:val="22"/>
          <w:lang w:val="en-CA" w:eastAsia="ja-JP"/>
        </w:rPr>
        <w:t xml:space="preserve"> and racialized persons as well</w:t>
      </w:r>
      <w:r w:rsidRPr="00097B0B">
        <w:rPr>
          <w:rFonts w:ascii="Arial" w:hAnsi="Arial" w:cs="Arial"/>
          <w:sz w:val="22"/>
          <w:szCs w:val="22"/>
          <w:lang w:val="en-CA" w:eastAsia="ja-JP"/>
        </w:rPr>
        <w:t xml:space="preserve"> as persons with disabilities do not fare as well as their counterparts in economic achievement. A recent report by the Wellesley Institute and the Canadian Centre for Policy Alternatives</w:t>
      </w:r>
      <w:r w:rsidRPr="00097B0B">
        <w:rPr>
          <w:rStyle w:val="FootnoteReference"/>
          <w:rFonts w:ascii="Arial" w:hAnsi="Arial" w:cs="Arial"/>
          <w:sz w:val="22"/>
          <w:szCs w:val="22"/>
          <w:lang w:val="en-CA" w:eastAsia="ja-JP"/>
        </w:rPr>
        <w:footnoteReference w:id="17"/>
      </w:r>
      <w:r w:rsidRPr="00097B0B">
        <w:rPr>
          <w:rFonts w:ascii="Arial" w:hAnsi="Arial" w:cs="Arial"/>
          <w:sz w:val="22"/>
          <w:szCs w:val="22"/>
          <w:lang w:val="en-CA" w:eastAsia="ja-JP"/>
        </w:rPr>
        <w:t xml:space="preserve"> suggests that racialized peoples:</w:t>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b/>
        <w:t>earn 81.4 cents for every dollar paid to non-racialized persons;</w:t>
      </w:r>
    </w:p>
    <w:p w:rsidR="00AE6101" w:rsidRPr="00097B0B" w:rsidRDefault="00AE6101" w:rsidP="00EC53F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b/>
        <w:t>have higher levels of labour market participation (67.3% v. 66.7%) but also experience higher levels of unemployment and that the work they get is temporary and low-paying and, further, racialized men are 24% more likely to be unemployed than their counterparts and racialized women are 48% more likely to be unemployed than racialized men;</w:t>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b/>
        <w:t>see their incomes decline between 2000 and 2005 by 0.2% while the earnings for their counterparts grew by 2.7% and while the economy grew by 13.1%;</w:t>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b/>
        <w:t>particularly immigrant women, earn 48.7 cents for every dollar of a non-racialized male</w:t>
      </w:r>
      <w:r w:rsidRPr="00097B0B">
        <w:rPr>
          <w:rStyle w:val="FootnoteReference"/>
          <w:rFonts w:ascii="Arial" w:hAnsi="Arial" w:cs="Arial"/>
          <w:sz w:val="22"/>
          <w:szCs w:val="22"/>
          <w:lang w:val="en-CA" w:eastAsia="ja-JP"/>
        </w:rPr>
        <w:footnoteReference w:id="18"/>
      </w:r>
      <w:r w:rsidRPr="00097B0B">
        <w:rPr>
          <w:rFonts w:ascii="Arial" w:hAnsi="Arial" w:cs="Arial"/>
          <w:sz w:val="22"/>
          <w:szCs w:val="22"/>
          <w:lang w:val="en-CA" w:eastAsia="ja-JP"/>
        </w:rPr>
        <w:t>;</w:t>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b/>
        <w:t>occupy only 14.7% of all occupations compared to 85.3% for non-racialized groups. Within the arts and cultural sector, racialized people occupy 10.4% of all occupations compared to 89.6% for non-racialized groups;</w:t>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b/>
        <w:t>in terms of industry, are composed of 8.5% of the ‘arts, entertainment and recreation’ sector compared with 91.5% of their counterparts;</w:t>
      </w:r>
      <w:r w:rsidRPr="00097B0B">
        <w:rPr>
          <w:rStyle w:val="FootnoteReference"/>
          <w:rFonts w:ascii="Arial" w:hAnsi="Arial" w:cs="Arial"/>
          <w:sz w:val="22"/>
          <w:szCs w:val="22"/>
          <w:lang w:val="en-CA" w:eastAsia="ja-JP"/>
        </w:rPr>
        <w:footnoteReference w:id="19"/>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b/>
        <w:t>in terms of gender, racialized men make $48,631 compared to $60,044 for non-racialized men while racialized women make  $37,932 compared to $52,345 for non-raciailized women.  Combined the difference is $43,979 earnings for racialized peoples compared to $52,345 for non-racialized peoples;</w:t>
      </w:r>
      <w:r w:rsidRPr="00097B0B">
        <w:rPr>
          <w:rStyle w:val="FootnoteReference"/>
          <w:rFonts w:ascii="Arial" w:hAnsi="Arial" w:cs="Arial"/>
          <w:sz w:val="22"/>
          <w:szCs w:val="22"/>
          <w:lang w:val="en-CA" w:eastAsia="ja-JP"/>
        </w:rPr>
        <w:footnoteReference w:id="20"/>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b/>
        <w:t>while these gaps may narrow, they do not evaporate for second and third generation wage earners. There is still a significant gap that widens where racialized men in the second generation make $57,237 compared to $75,729 for non-racialized men and racialized women earn $42,804 compared to $46,391 for non-racialized women. The differential in the third generation indicates that racialized men earn $66,137 compared to $70,962 for their counterparts while racialized women earn $44,460 compared to $44,810 for their counterparts;</w:t>
      </w:r>
      <w:r w:rsidRPr="00097B0B">
        <w:rPr>
          <w:rStyle w:val="FootnoteReference"/>
          <w:rFonts w:ascii="Arial" w:hAnsi="Arial" w:cs="Arial"/>
          <w:sz w:val="22"/>
          <w:szCs w:val="22"/>
          <w:lang w:val="en-CA" w:eastAsia="ja-JP"/>
        </w:rPr>
        <w:footnoteReference w:id="21"/>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 xml:space="preserve"> in terms of poverty, 19.6% live in poverty compared to 6.4% of their counterparts.</w:t>
      </w:r>
      <w:r w:rsidRPr="00097B0B">
        <w:rPr>
          <w:rStyle w:val="FootnoteReference"/>
          <w:rFonts w:ascii="Arial" w:hAnsi="Arial" w:cs="Arial"/>
          <w:sz w:val="22"/>
          <w:szCs w:val="22"/>
          <w:lang w:val="en-CA" w:eastAsia="ja-JP"/>
        </w:rPr>
        <w:footnoteReference w:id="22"/>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tabs>
          <w:tab w:val="left" w:pos="540"/>
        </w:tabs>
        <w:ind w:right="-241"/>
        <w:jc w:val="both"/>
        <w:rPr>
          <w:rFonts w:ascii="Arial" w:hAnsi="Arial" w:cs="Arial"/>
          <w:sz w:val="22"/>
          <w:szCs w:val="22"/>
          <w:lang w:val="en-CA"/>
        </w:rPr>
      </w:pPr>
      <w:r w:rsidRPr="00097B0B">
        <w:rPr>
          <w:rFonts w:ascii="Arial" w:hAnsi="Arial" w:cs="Arial"/>
          <w:sz w:val="22"/>
          <w:szCs w:val="22"/>
          <w:lang w:val="en-CA"/>
        </w:rPr>
        <w:t xml:space="preserve">Based on analysis of the 2001 census, Hill Strategies </w:t>
      </w:r>
      <w:r w:rsidRPr="00097B0B">
        <w:rPr>
          <w:rFonts w:ascii="Arial" w:hAnsi="Arial" w:cs="Arial"/>
          <w:b/>
          <w:i/>
          <w:sz w:val="22"/>
          <w:szCs w:val="22"/>
          <w:lang w:val="en-CA"/>
        </w:rPr>
        <w:t>Diversity in Canada’s Arts Labour Force</w:t>
      </w:r>
      <w:r w:rsidRPr="00097B0B">
        <w:rPr>
          <w:rStyle w:val="FootnoteReference"/>
          <w:rFonts w:ascii="Arial" w:hAnsi="Arial" w:cs="Arial"/>
          <w:b/>
          <w:i/>
          <w:sz w:val="22"/>
          <w:szCs w:val="22"/>
          <w:lang w:val="en-CA"/>
        </w:rPr>
        <w:footnoteReference w:id="23"/>
      </w:r>
      <w:r w:rsidRPr="00097B0B">
        <w:rPr>
          <w:rFonts w:ascii="Arial" w:hAnsi="Arial" w:cs="Arial"/>
          <w:sz w:val="22"/>
          <w:szCs w:val="22"/>
          <w:lang w:val="en-CA"/>
        </w:rPr>
        <w:t>suggests many revealing pieces of information, including:</w:t>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 xml:space="preserve">of the 131,000 artists in Canada, 11,700 (8.9%) are racialized, 3,100 (2.5%) are </w:t>
      </w:r>
      <w:r w:rsidR="00A76888">
        <w:rPr>
          <w:rFonts w:ascii="Arial" w:hAnsi="Arial" w:cs="Arial"/>
          <w:sz w:val="22"/>
          <w:szCs w:val="22"/>
          <w:lang w:val="en-CA"/>
        </w:rPr>
        <w:t>Indigenous</w:t>
      </w:r>
      <w:r w:rsidRPr="00097B0B">
        <w:rPr>
          <w:rFonts w:ascii="Arial" w:hAnsi="Arial" w:cs="Arial"/>
          <w:sz w:val="22"/>
          <w:szCs w:val="22"/>
          <w:lang w:val="en-CA"/>
        </w:rPr>
        <w:t xml:space="preserve"> and immigrants accounted for 20% of all Canadian artists. Racialized artists earnings were 11% less than other artists while earnings for </w:t>
      </w:r>
      <w:r w:rsidR="00A76888">
        <w:rPr>
          <w:rFonts w:ascii="Arial" w:hAnsi="Arial" w:cs="Arial"/>
          <w:sz w:val="22"/>
          <w:szCs w:val="22"/>
          <w:lang w:val="en-CA"/>
        </w:rPr>
        <w:t>Indigenous</w:t>
      </w:r>
      <w:r w:rsidRPr="00097B0B">
        <w:rPr>
          <w:rFonts w:ascii="Arial" w:hAnsi="Arial" w:cs="Arial"/>
          <w:sz w:val="22"/>
          <w:szCs w:val="22"/>
          <w:lang w:val="en-CA"/>
        </w:rPr>
        <w:t xml:space="preserve"> artists were 28% less than other artists;</w:t>
      </w:r>
      <w:r w:rsidRPr="00097B0B">
        <w:rPr>
          <w:rStyle w:val="FootnoteReference"/>
          <w:rFonts w:ascii="Arial" w:hAnsi="Arial" w:cs="Arial"/>
          <w:sz w:val="22"/>
          <w:szCs w:val="22"/>
          <w:lang w:val="en-CA"/>
        </w:rPr>
        <w:footnoteReference w:id="24"/>
      </w:r>
    </w:p>
    <w:p w:rsidR="00AE6101" w:rsidRPr="00097B0B" w:rsidRDefault="00AE6101" w:rsidP="00EC53F6">
      <w:pPr>
        <w:tabs>
          <w:tab w:val="left" w:pos="540"/>
        </w:tabs>
        <w:ind w:right="-241"/>
        <w:jc w:val="both"/>
        <w:rPr>
          <w:rFonts w:ascii="Arial" w:hAnsi="Arial" w:cs="Arial"/>
          <w:sz w:val="22"/>
          <w:szCs w:val="22"/>
          <w:lang w:val="en-CA"/>
        </w:rPr>
      </w:pPr>
    </w:p>
    <w:p w:rsidR="00AE6101" w:rsidRPr="004043C2"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 xml:space="preserve">Ontario accounts for 50% of the racialized and immigrant artists in Canada with the overwhelming number of these artists living in metropolitan areas while </w:t>
      </w:r>
      <w:r w:rsidR="00A76888">
        <w:rPr>
          <w:rFonts w:ascii="Arial" w:hAnsi="Arial" w:cs="Arial"/>
          <w:sz w:val="22"/>
          <w:szCs w:val="22"/>
          <w:lang w:val="en-CA"/>
        </w:rPr>
        <w:t>Indigenous</w:t>
      </w:r>
      <w:r w:rsidRPr="00097B0B">
        <w:rPr>
          <w:rFonts w:ascii="Arial" w:hAnsi="Arial" w:cs="Arial"/>
          <w:sz w:val="22"/>
          <w:szCs w:val="22"/>
          <w:lang w:val="en-CA"/>
        </w:rPr>
        <w:t xml:space="preserve"> artists tend to live outside metropolitan </w:t>
      </w:r>
      <w:r w:rsidR="004043C2">
        <w:rPr>
          <w:rFonts w:ascii="Arial" w:hAnsi="Arial" w:cs="Arial"/>
          <w:sz w:val="22"/>
          <w:szCs w:val="22"/>
          <w:lang w:val="en-CA"/>
        </w:rPr>
        <w:t xml:space="preserve">areas. By Comparison, </w:t>
      </w:r>
      <w:r w:rsidRPr="004043C2">
        <w:rPr>
          <w:rFonts w:ascii="Arial" w:hAnsi="Arial" w:cs="Arial"/>
          <w:sz w:val="22"/>
          <w:szCs w:val="22"/>
          <w:lang w:val="en-CA"/>
        </w:rPr>
        <w:t>B.C. is home to 25% of racialized artists with the highest concentration of racialized artists in its arts labour force with 13% of all provincial artists;</w:t>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90% of racialized artists live in urban areas (Census Metropolitan Areas/CMAs) with Vancouver, Toronto and Montreal combining for 39% of all racialized artists. Of these racialized artists, Toronto’s CMA has the highest concentration (39%), followed by Vancouver CMA (24%) and Montreal CMA (11%);</w:t>
      </w:r>
      <w:r w:rsidRPr="00097B0B">
        <w:rPr>
          <w:rStyle w:val="FootnoteReference"/>
          <w:rFonts w:ascii="Arial" w:hAnsi="Arial" w:cs="Arial"/>
          <w:sz w:val="22"/>
          <w:szCs w:val="22"/>
          <w:lang w:val="en-CA"/>
        </w:rPr>
        <w:footnoteReference w:id="25"/>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corresponding with increases in immigrant settlement, racialized and immigrant artists grew ‘strongly’ between 1991 and 2001 by 74% and 31% respectively;</w:t>
      </w:r>
      <w:r w:rsidRPr="00097B0B">
        <w:rPr>
          <w:rStyle w:val="FootnoteReference"/>
          <w:rFonts w:ascii="Arial" w:hAnsi="Arial" w:cs="Arial"/>
          <w:sz w:val="22"/>
          <w:szCs w:val="22"/>
          <w:lang w:val="en-CA"/>
        </w:rPr>
        <w:footnoteReference w:id="26"/>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Ontario is home to 50% of all racialized artists and these artists comprise 11% of the province’s artists while B.C. is home to 25 of these artists who comprise 13% of all B.C. artists and Quebec has 12% of these artists or 5% of all Quebec artists;</w:t>
      </w:r>
      <w:r w:rsidRPr="00097B0B">
        <w:rPr>
          <w:rStyle w:val="FootnoteReference"/>
          <w:rFonts w:ascii="Arial" w:hAnsi="Arial" w:cs="Arial"/>
          <w:sz w:val="22"/>
          <w:szCs w:val="22"/>
          <w:lang w:val="en-CA"/>
        </w:rPr>
        <w:footnoteReference w:id="27"/>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in the aforementioned CMAs, racialized artists earn less than their counterparts with Toronto 26% less, Montreal 27% less and Vancouver 22% less;</w:t>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between 1991 and 2001, there was a ‘slight widening’ in earnings between racialized and other artists (9.8% to 11.3%), however, this small disparity is notably increased in such professions as acting (-21%), dancing (-14%), as well as amongst musicians and singers (-18%), and producers/directors/choreographers (-20%);</w:t>
      </w:r>
      <w:r w:rsidRPr="00097B0B">
        <w:rPr>
          <w:rStyle w:val="FootnoteReference"/>
          <w:rFonts w:ascii="Arial" w:hAnsi="Arial" w:cs="Arial"/>
          <w:sz w:val="22"/>
          <w:szCs w:val="22"/>
          <w:lang w:val="en-CA"/>
        </w:rPr>
        <w:footnoteReference w:id="28"/>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 xml:space="preserve">racialized artists in Ontario have the highest average earnings ($22,800) when compared to their counterparts in other provinces, i.e., B.C. ($19,800) and Quebec ($19,400). </w:t>
      </w:r>
      <w:r w:rsidR="00797700">
        <w:rPr>
          <w:rFonts w:ascii="Arial" w:hAnsi="Arial" w:cs="Arial"/>
          <w:sz w:val="22"/>
          <w:szCs w:val="22"/>
          <w:lang w:val="en-CA"/>
        </w:rPr>
        <w:t>However</w:t>
      </w:r>
      <w:r w:rsidRPr="00097B0B">
        <w:rPr>
          <w:rFonts w:ascii="Arial" w:hAnsi="Arial" w:cs="Arial"/>
          <w:sz w:val="22"/>
          <w:szCs w:val="22"/>
          <w:lang w:val="en-CA"/>
        </w:rPr>
        <w:t xml:space="preserve">, these artists lag 15% behind all </w:t>
      </w:r>
      <w:r w:rsidR="00797700">
        <w:rPr>
          <w:rFonts w:ascii="Arial" w:hAnsi="Arial" w:cs="Arial"/>
          <w:sz w:val="22"/>
          <w:szCs w:val="22"/>
          <w:lang w:val="en-CA"/>
        </w:rPr>
        <w:t>other artists in Ontario</w:t>
      </w:r>
      <w:r w:rsidRPr="00097B0B">
        <w:rPr>
          <w:rFonts w:ascii="Arial" w:hAnsi="Arial" w:cs="Arial"/>
          <w:sz w:val="22"/>
          <w:szCs w:val="22"/>
          <w:lang w:val="en-CA"/>
        </w:rPr>
        <w:t>;</w:t>
      </w:r>
      <w:r w:rsidRPr="00097B0B">
        <w:rPr>
          <w:rStyle w:val="FootnoteReference"/>
          <w:rFonts w:ascii="Arial" w:hAnsi="Arial" w:cs="Arial"/>
          <w:sz w:val="22"/>
          <w:szCs w:val="22"/>
          <w:lang w:val="en-CA"/>
        </w:rPr>
        <w:footnoteReference w:id="29"/>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 xml:space="preserve">B.C. was home to 29% of all </w:t>
      </w:r>
      <w:r w:rsidR="00A76888">
        <w:rPr>
          <w:rFonts w:ascii="Arial" w:hAnsi="Arial" w:cs="Arial"/>
          <w:sz w:val="22"/>
          <w:szCs w:val="22"/>
          <w:lang w:val="en-CA"/>
        </w:rPr>
        <w:t>Indigenous</w:t>
      </w:r>
      <w:r w:rsidRPr="00097B0B">
        <w:rPr>
          <w:rFonts w:ascii="Arial" w:hAnsi="Arial" w:cs="Arial"/>
          <w:sz w:val="22"/>
          <w:szCs w:val="22"/>
          <w:lang w:val="en-CA"/>
        </w:rPr>
        <w:t xml:space="preserve"> artists who comprised 2.6% of the province’s artists. This was followed by Ontario which was home to 20% of all </w:t>
      </w:r>
      <w:r w:rsidR="00A76888">
        <w:rPr>
          <w:rFonts w:ascii="Arial" w:hAnsi="Arial" w:cs="Arial"/>
          <w:sz w:val="22"/>
          <w:szCs w:val="22"/>
          <w:lang w:val="en-CA"/>
        </w:rPr>
        <w:t>Indigenous</w:t>
      </w:r>
      <w:r w:rsidRPr="00097B0B">
        <w:rPr>
          <w:rFonts w:ascii="Arial" w:hAnsi="Arial" w:cs="Arial"/>
          <w:sz w:val="22"/>
          <w:szCs w:val="22"/>
          <w:lang w:val="en-CA"/>
        </w:rPr>
        <w:t xml:space="preserve"> artists comprising 1.2% of all Ontario artists</w:t>
      </w:r>
      <w:r w:rsidR="004043C2">
        <w:rPr>
          <w:rFonts w:ascii="Arial" w:hAnsi="Arial" w:cs="Arial"/>
          <w:sz w:val="22"/>
          <w:szCs w:val="22"/>
          <w:lang w:val="en-CA"/>
        </w:rPr>
        <w:t>;</w:t>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76888" w:rsidP="00EC53F6">
      <w:pPr>
        <w:numPr>
          <w:ilvl w:val="0"/>
          <w:numId w:val="1"/>
        </w:numPr>
        <w:tabs>
          <w:tab w:val="left" w:pos="540"/>
        </w:tabs>
        <w:ind w:left="0" w:right="-241" w:firstLine="0"/>
        <w:jc w:val="both"/>
        <w:rPr>
          <w:rFonts w:ascii="Arial" w:hAnsi="Arial" w:cs="Arial"/>
          <w:sz w:val="22"/>
          <w:szCs w:val="22"/>
          <w:lang w:val="en-CA"/>
        </w:rPr>
      </w:pPr>
      <w:r>
        <w:rPr>
          <w:rFonts w:ascii="Arial" w:hAnsi="Arial" w:cs="Arial"/>
          <w:sz w:val="22"/>
          <w:szCs w:val="22"/>
          <w:lang w:val="en-CA"/>
        </w:rPr>
        <w:t>Indigenous</w:t>
      </w:r>
      <w:r w:rsidR="00AE6101" w:rsidRPr="00097B0B">
        <w:rPr>
          <w:rFonts w:ascii="Arial" w:hAnsi="Arial" w:cs="Arial"/>
          <w:sz w:val="22"/>
          <w:szCs w:val="22"/>
          <w:lang w:val="en-CA"/>
        </w:rPr>
        <w:t xml:space="preserve"> artists earned on average 28% less than all other artists with actors, dancers and other performers making 13% less, and, producers, directors, choreographers making 30% less;</w:t>
      </w:r>
      <w:r w:rsidR="00AE6101" w:rsidRPr="00097B0B">
        <w:rPr>
          <w:rStyle w:val="FootnoteReference"/>
          <w:rFonts w:ascii="Arial" w:hAnsi="Arial" w:cs="Arial"/>
          <w:sz w:val="22"/>
          <w:szCs w:val="22"/>
          <w:lang w:val="en-CA"/>
        </w:rPr>
        <w:footnoteReference w:id="30"/>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 xml:space="preserve">while </w:t>
      </w:r>
      <w:r w:rsidR="00A76888">
        <w:rPr>
          <w:rFonts w:ascii="Arial" w:hAnsi="Arial" w:cs="Arial"/>
          <w:sz w:val="22"/>
          <w:szCs w:val="22"/>
          <w:lang w:val="en-CA"/>
        </w:rPr>
        <w:t>Indigenous</w:t>
      </w:r>
      <w:r w:rsidRPr="00097B0B">
        <w:rPr>
          <w:rFonts w:ascii="Arial" w:hAnsi="Arial" w:cs="Arial"/>
          <w:sz w:val="22"/>
          <w:szCs w:val="22"/>
          <w:lang w:val="en-CA"/>
        </w:rPr>
        <w:t xml:space="preserve"> artists have their highest earnings in Ontario, these artists make 21% less than the average earnin</w:t>
      </w:r>
      <w:r w:rsidR="00797700">
        <w:rPr>
          <w:rFonts w:ascii="Arial" w:hAnsi="Arial" w:cs="Arial"/>
          <w:sz w:val="22"/>
          <w:szCs w:val="22"/>
          <w:lang w:val="en-CA"/>
        </w:rPr>
        <w:t>gs of all other Ontario artists</w:t>
      </w:r>
      <w:r w:rsidRPr="00097B0B">
        <w:rPr>
          <w:rFonts w:ascii="Arial" w:hAnsi="Arial" w:cs="Arial"/>
          <w:sz w:val="22"/>
          <w:szCs w:val="22"/>
          <w:lang w:val="en-CA"/>
        </w:rPr>
        <w:t>;</w:t>
      </w:r>
      <w:r w:rsidRPr="00097B0B">
        <w:rPr>
          <w:rStyle w:val="FootnoteReference"/>
          <w:rFonts w:ascii="Arial" w:hAnsi="Arial" w:cs="Arial"/>
          <w:sz w:val="22"/>
          <w:szCs w:val="22"/>
          <w:lang w:val="en-CA"/>
        </w:rPr>
        <w:footnoteReference w:id="31"/>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Ontario is home to 49% of all immigrant artists while B.C. is home to 24% and Quebec to 13%. These three provinces combine for 86% of immigrant artists in Canada;</w:t>
      </w:r>
      <w:r w:rsidRPr="00097B0B">
        <w:rPr>
          <w:rStyle w:val="FootnoteReference"/>
          <w:rFonts w:ascii="Arial" w:hAnsi="Arial" w:cs="Arial"/>
          <w:sz w:val="22"/>
          <w:szCs w:val="22"/>
          <w:lang w:val="en-CA"/>
        </w:rPr>
        <w:footnoteReference w:id="32"/>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83% of immigrant artists reside inside CMAs with Vancouver, Montreal and Toronto comprising 75% of these and Toronto has 33% of these artists, Vancouver 30% and Montreal 11%;</w:t>
      </w:r>
      <w:r w:rsidRPr="00097B0B">
        <w:rPr>
          <w:rStyle w:val="FootnoteReference"/>
          <w:rFonts w:ascii="Arial" w:hAnsi="Arial" w:cs="Arial"/>
          <w:sz w:val="22"/>
          <w:szCs w:val="22"/>
          <w:lang w:val="en-CA"/>
        </w:rPr>
        <w:footnoteReference w:id="33"/>
      </w:r>
    </w:p>
    <w:p w:rsidR="00AE6101" w:rsidRPr="00097B0B" w:rsidRDefault="00AE6101" w:rsidP="00EC53F6">
      <w:pPr>
        <w:tabs>
          <w:tab w:val="left" w:pos="540"/>
        </w:tabs>
        <w:ind w:right="-241"/>
        <w:jc w:val="both"/>
        <w:rPr>
          <w:rFonts w:ascii="Arial" w:hAnsi="Arial" w:cs="Arial"/>
          <w:sz w:val="22"/>
          <w:szCs w:val="22"/>
          <w:lang w:val="en-CA"/>
        </w:rPr>
      </w:pPr>
    </w:p>
    <w:p w:rsidR="00AE6101" w:rsidRDefault="00AE6101" w:rsidP="00EC53F6">
      <w:pPr>
        <w:numPr>
          <w:ilvl w:val="0"/>
          <w:numId w:val="1"/>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Immigrant artists’ earnings are 1.4% less than the average for all other artists. However, between 1991 and 2001, their earnings increased 13% which is 50% less than the average increase for all other Canadian artists.</w:t>
      </w:r>
      <w:r w:rsidRPr="00097B0B">
        <w:rPr>
          <w:rStyle w:val="FootnoteReference"/>
          <w:rFonts w:ascii="Arial" w:hAnsi="Arial" w:cs="Arial"/>
          <w:sz w:val="22"/>
          <w:szCs w:val="22"/>
          <w:lang w:val="en-CA"/>
        </w:rPr>
        <w:footnoteReference w:id="34"/>
      </w:r>
    </w:p>
    <w:p w:rsidR="00ED21B3" w:rsidRPr="00097B0B" w:rsidRDefault="00ED21B3" w:rsidP="00EC53F6">
      <w:pPr>
        <w:tabs>
          <w:tab w:val="left" w:pos="540"/>
        </w:tabs>
        <w:ind w:right="-241"/>
        <w:jc w:val="both"/>
        <w:rPr>
          <w:rFonts w:ascii="Arial" w:hAnsi="Arial" w:cs="Arial"/>
          <w:sz w:val="22"/>
          <w:szCs w:val="22"/>
          <w:lang w:val="en-CA"/>
        </w:rPr>
      </w:pPr>
    </w:p>
    <w:p w:rsidR="00AE6101" w:rsidRPr="00097B0B" w:rsidRDefault="00AE6101" w:rsidP="00EC53F6">
      <w:pPr>
        <w:tabs>
          <w:tab w:val="left" w:pos="540"/>
        </w:tabs>
        <w:ind w:right="-241"/>
        <w:jc w:val="both"/>
        <w:rPr>
          <w:rFonts w:ascii="Arial" w:hAnsi="Arial" w:cs="Arial"/>
          <w:sz w:val="22"/>
          <w:szCs w:val="22"/>
          <w:lang w:val="en-CA"/>
        </w:rPr>
      </w:pPr>
      <w:r w:rsidRPr="00097B0B">
        <w:rPr>
          <w:rFonts w:ascii="Arial" w:hAnsi="Arial" w:cs="Arial"/>
          <w:sz w:val="22"/>
          <w:szCs w:val="22"/>
          <w:lang w:val="en-CA"/>
        </w:rPr>
        <w:t xml:space="preserve">In a report based on the 2006 Census, </w:t>
      </w:r>
      <w:r w:rsidR="00797700" w:rsidRPr="00097B0B">
        <w:rPr>
          <w:rFonts w:ascii="Arial" w:hAnsi="Arial" w:cs="Arial"/>
          <w:sz w:val="22"/>
          <w:szCs w:val="22"/>
          <w:lang w:val="en-CA"/>
        </w:rPr>
        <w:t xml:space="preserve">Hill Strategies </w:t>
      </w:r>
      <w:r w:rsidR="00797700">
        <w:rPr>
          <w:rFonts w:ascii="Arial" w:hAnsi="Arial" w:cs="Arial"/>
          <w:sz w:val="22"/>
          <w:szCs w:val="22"/>
          <w:lang w:val="en-CA"/>
        </w:rPr>
        <w:t>note</w:t>
      </w:r>
      <w:r w:rsidRPr="00097B0B">
        <w:rPr>
          <w:rFonts w:ascii="Arial" w:hAnsi="Arial" w:cs="Arial"/>
          <w:sz w:val="22"/>
          <w:szCs w:val="22"/>
          <w:lang w:val="en-CA"/>
        </w:rPr>
        <w:t xml:space="preserve"> that</w:t>
      </w:r>
      <w:r w:rsidR="00797700" w:rsidRPr="00097B0B">
        <w:rPr>
          <w:rStyle w:val="FootnoteReference"/>
          <w:rFonts w:ascii="Arial" w:hAnsi="Arial" w:cs="Arial"/>
          <w:sz w:val="22"/>
          <w:szCs w:val="22"/>
          <w:lang w:val="en-CA"/>
        </w:rPr>
        <w:footnoteReference w:id="35"/>
      </w:r>
      <w:r w:rsidRPr="00097B0B">
        <w:rPr>
          <w:rFonts w:ascii="Arial" w:hAnsi="Arial" w:cs="Arial"/>
          <w:sz w:val="22"/>
          <w:szCs w:val="22"/>
          <w:lang w:val="en-CA"/>
        </w:rPr>
        <w:t>:</w:t>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pStyle w:val="ListParagraph"/>
        <w:numPr>
          <w:ilvl w:val="0"/>
          <w:numId w:val="3"/>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there were 140,040 artists in Canada with 105,345 whose first language is English or 75% of all artists; 24,585 whose first language is French or 18% of all artists; 8,630 whose first language is a non-official language or 6% of all artists. Of these artists, 5,555 are English-language minorities residing in Quebec (4%) and 1,755 Official Language Minorities</w:t>
      </w:r>
      <w:r>
        <w:rPr>
          <w:rFonts w:ascii="Arial" w:hAnsi="Arial" w:cs="Arial"/>
          <w:sz w:val="22"/>
          <w:szCs w:val="22"/>
          <w:lang w:val="en-CA"/>
        </w:rPr>
        <w:t xml:space="preserve"> (Francophones)</w:t>
      </w:r>
      <w:r w:rsidRPr="00097B0B">
        <w:rPr>
          <w:rFonts w:ascii="Arial" w:hAnsi="Arial" w:cs="Arial"/>
          <w:sz w:val="22"/>
          <w:szCs w:val="22"/>
          <w:lang w:val="en-CA"/>
        </w:rPr>
        <w:t xml:space="preserve"> (1.3%);</w:t>
      </w:r>
      <w:r w:rsidRPr="00097B0B">
        <w:rPr>
          <w:rStyle w:val="FootnoteReference"/>
          <w:rFonts w:ascii="Arial" w:hAnsi="Arial" w:cs="Arial"/>
          <w:sz w:val="22"/>
          <w:szCs w:val="22"/>
          <w:lang w:val="en-CA"/>
        </w:rPr>
        <w:footnoteReference w:id="36"/>
      </w:r>
    </w:p>
    <w:p w:rsidR="00AE6101" w:rsidRPr="00097B0B" w:rsidRDefault="00AE6101" w:rsidP="00EC53F6">
      <w:pPr>
        <w:pStyle w:val="ListParagraph"/>
        <w:tabs>
          <w:tab w:val="left" w:pos="540"/>
        </w:tabs>
        <w:ind w:left="0" w:right="-241"/>
        <w:jc w:val="both"/>
        <w:rPr>
          <w:rFonts w:ascii="Arial" w:hAnsi="Arial" w:cs="Arial"/>
          <w:sz w:val="22"/>
          <w:szCs w:val="22"/>
          <w:lang w:val="en-CA"/>
        </w:rPr>
      </w:pPr>
    </w:p>
    <w:p w:rsidR="00AE6101" w:rsidRPr="00097B0B" w:rsidRDefault="00AE6101" w:rsidP="00EC53F6">
      <w:pPr>
        <w:pStyle w:val="ListParagraph"/>
        <w:numPr>
          <w:ilvl w:val="0"/>
          <w:numId w:val="3"/>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Anglophone artists made $22,776 per year compared with Francophone artists who made $24,520, Non-official language artists who made $17,373, English-language minorities who made $26,069 and French-language minorities who made $22,738;</w:t>
      </w:r>
      <w:r w:rsidRPr="00097B0B">
        <w:rPr>
          <w:rStyle w:val="FootnoteReference"/>
          <w:rFonts w:ascii="Arial" w:hAnsi="Arial" w:cs="Arial"/>
          <w:sz w:val="22"/>
          <w:szCs w:val="22"/>
          <w:lang w:val="en-CA"/>
        </w:rPr>
        <w:footnoteReference w:id="37"/>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pStyle w:val="ListParagraph"/>
        <w:numPr>
          <w:ilvl w:val="0"/>
          <w:numId w:val="3"/>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 xml:space="preserve">there were 3,295 </w:t>
      </w:r>
      <w:r w:rsidR="00A76888">
        <w:rPr>
          <w:rFonts w:ascii="Arial" w:hAnsi="Arial" w:cs="Arial"/>
          <w:sz w:val="22"/>
          <w:szCs w:val="22"/>
          <w:lang w:val="en-CA"/>
        </w:rPr>
        <w:t>Indigenous</w:t>
      </w:r>
      <w:r w:rsidRPr="00097B0B">
        <w:rPr>
          <w:rFonts w:ascii="Arial" w:hAnsi="Arial" w:cs="Arial"/>
          <w:sz w:val="22"/>
          <w:szCs w:val="22"/>
          <w:lang w:val="en-CA"/>
        </w:rPr>
        <w:t xml:space="preserve"> artists (2.4% of all artists), 14,910 racialized artists (11%) and 28,355 immigrant artists (20%). Respectively, these artists earnings were $15,883, $18,796 and 20,877;</w:t>
      </w:r>
      <w:r w:rsidRPr="00097B0B">
        <w:rPr>
          <w:rStyle w:val="FootnoteReference"/>
          <w:rFonts w:ascii="Arial" w:hAnsi="Arial" w:cs="Arial"/>
          <w:sz w:val="22"/>
          <w:szCs w:val="22"/>
          <w:lang w:val="en-CA"/>
        </w:rPr>
        <w:footnoteReference w:id="38"/>
      </w:r>
      <w:r w:rsidRPr="00097B0B">
        <w:rPr>
          <w:rFonts w:ascii="Arial" w:hAnsi="Arial" w:cs="Arial"/>
          <w:sz w:val="22"/>
          <w:szCs w:val="22"/>
          <w:lang w:val="en-CA"/>
        </w:rPr>
        <w:t xml:space="preserve"> and</w:t>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pStyle w:val="ListParagraph"/>
        <w:numPr>
          <w:ilvl w:val="0"/>
          <w:numId w:val="3"/>
        </w:numPr>
        <w:tabs>
          <w:tab w:val="left" w:pos="540"/>
        </w:tabs>
        <w:ind w:left="0" w:right="-241" w:firstLine="0"/>
        <w:jc w:val="both"/>
        <w:rPr>
          <w:rFonts w:ascii="Arial" w:hAnsi="Arial" w:cs="Arial"/>
          <w:sz w:val="22"/>
          <w:szCs w:val="22"/>
          <w:lang w:val="en-CA"/>
        </w:rPr>
      </w:pPr>
      <w:r w:rsidRPr="00097B0B">
        <w:rPr>
          <w:rFonts w:ascii="Arial" w:hAnsi="Arial" w:cs="Arial"/>
          <w:sz w:val="22"/>
          <w:szCs w:val="22"/>
          <w:lang w:val="en-CA"/>
        </w:rPr>
        <w:t>there were 6,300 artists with disabilities (5% of all artists) who indicated that they are often limited in their activities and 13,500 artists with disabilities (10% of all artists) who indicate that they are sometimes limited in their activities.  Average earnings for the former are $15,300.00 or 42% less than other similarly situated workers and for the latter earnings are $17,700.00 or 43% less than other similarly situated workers.</w:t>
      </w:r>
      <w:r w:rsidRPr="00097B0B">
        <w:rPr>
          <w:rStyle w:val="FootnoteReference"/>
          <w:rFonts w:ascii="Arial" w:hAnsi="Arial" w:cs="Arial"/>
          <w:sz w:val="22"/>
          <w:szCs w:val="22"/>
          <w:lang w:val="en-CA"/>
        </w:rPr>
        <w:footnoteReference w:id="39"/>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tabs>
          <w:tab w:val="left" w:pos="540"/>
        </w:tabs>
        <w:ind w:right="-241"/>
        <w:jc w:val="both"/>
        <w:rPr>
          <w:rFonts w:ascii="Arial" w:hAnsi="Arial" w:cs="Arial"/>
          <w:sz w:val="22"/>
          <w:szCs w:val="22"/>
          <w:lang w:val="en-CA"/>
        </w:rPr>
      </w:pPr>
      <w:r w:rsidRPr="00097B0B">
        <w:rPr>
          <w:rFonts w:ascii="Arial" w:hAnsi="Arial" w:cs="Arial"/>
          <w:sz w:val="22"/>
          <w:szCs w:val="22"/>
          <w:lang w:val="en-CA"/>
        </w:rPr>
        <w:t xml:space="preserve">In terms of changes in artists’ income from the 2001 to the 2006 Census, Hill notes that while all artists’ income fell 14%, </w:t>
      </w:r>
      <w:r w:rsidR="00A76888">
        <w:rPr>
          <w:rFonts w:ascii="Arial" w:hAnsi="Arial" w:cs="Arial"/>
          <w:sz w:val="22"/>
          <w:szCs w:val="22"/>
          <w:lang w:val="en-CA"/>
        </w:rPr>
        <w:t>Indigenous</w:t>
      </w:r>
      <w:r w:rsidRPr="00097B0B">
        <w:rPr>
          <w:rFonts w:ascii="Arial" w:hAnsi="Arial" w:cs="Arial"/>
          <w:sz w:val="22"/>
          <w:szCs w:val="22"/>
          <w:lang w:val="en-CA"/>
        </w:rPr>
        <w:t xml:space="preserve"> artists’ income fell by 16% and income for immigrant and racialized artists each fell by 20%.</w:t>
      </w:r>
      <w:r w:rsidRPr="00097B0B">
        <w:rPr>
          <w:rStyle w:val="FootnoteReference"/>
          <w:rFonts w:ascii="Arial" w:hAnsi="Arial" w:cs="Arial"/>
          <w:sz w:val="22"/>
          <w:szCs w:val="22"/>
          <w:lang w:val="en-CA"/>
        </w:rPr>
        <w:footnoteReference w:id="40"/>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tabs>
          <w:tab w:val="left" w:pos="540"/>
        </w:tabs>
        <w:ind w:right="-241"/>
        <w:jc w:val="both"/>
        <w:rPr>
          <w:rFonts w:ascii="Arial" w:hAnsi="Arial" w:cs="Arial"/>
          <w:sz w:val="22"/>
          <w:szCs w:val="22"/>
          <w:lang w:val="en-CA"/>
        </w:rPr>
      </w:pPr>
      <w:r w:rsidRPr="00097B0B">
        <w:rPr>
          <w:rFonts w:ascii="Arial" w:hAnsi="Arial" w:cs="Arial"/>
          <w:sz w:val="22"/>
          <w:szCs w:val="22"/>
          <w:lang w:val="en-CA"/>
        </w:rPr>
        <w:t xml:space="preserve">Unfortunately, </w:t>
      </w:r>
      <w:r w:rsidR="00A526AD">
        <w:rPr>
          <w:rFonts w:ascii="Arial" w:hAnsi="Arial" w:cs="Arial"/>
          <w:sz w:val="22"/>
          <w:szCs w:val="22"/>
          <w:lang w:val="en-CA"/>
        </w:rPr>
        <w:t xml:space="preserve">the Hill’s </w:t>
      </w:r>
      <w:r w:rsidRPr="00097B0B">
        <w:rPr>
          <w:rFonts w:ascii="Arial" w:hAnsi="Arial" w:cs="Arial"/>
          <w:sz w:val="22"/>
          <w:szCs w:val="22"/>
          <w:lang w:val="en-CA"/>
        </w:rPr>
        <w:t xml:space="preserve">reports do not correlate racialized and immigrant artists. However, judging from the immigrant settlement patterns noted earlier, it is quite likely that many immigrant artists are also racialized. What is also very notable is the dramatic increase in the number of </w:t>
      </w:r>
      <w:r w:rsidR="00A76888">
        <w:rPr>
          <w:rFonts w:ascii="Arial" w:hAnsi="Arial" w:cs="Arial"/>
          <w:sz w:val="22"/>
          <w:szCs w:val="22"/>
          <w:lang w:val="en-CA"/>
        </w:rPr>
        <w:t>Indigenous</w:t>
      </w:r>
      <w:r w:rsidRPr="00097B0B">
        <w:rPr>
          <w:rFonts w:ascii="Arial" w:hAnsi="Arial" w:cs="Arial"/>
          <w:sz w:val="22"/>
          <w:szCs w:val="22"/>
          <w:lang w:val="en-CA"/>
        </w:rPr>
        <w:t>, racialized and immigrant artists since 1991. While this has contribut</w:t>
      </w:r>
      <w:r w:rsidR="00ED21B3">
        <w:rPr>
          <w:rFonts w:ascii="Arial" w:hAnsi="Arial" w:cs="Arial"/>
          <w:sz w:val="22"/>
          <w:szCs w:val="22"/>
          <w:lang w:val="en-CA"/>
        </w:rPr>
        <w:t xml:space="preserve">ed to the diversity of Canadian and Ontario </w:t>
      </w:r>
      <w:r w:rsidRPr="00097B0B">
        <w:rPr>
          <w:rFonts w:ascii="Arial" w:hAnsi="Arial" w:cs="Arial"/>
          <w:sz w:val="22"/>
          <w:szCs w:val="22"/>
          <w:lang w:val="en-CA"/>
        </w:rPr>
        <w:t xml:space="preserve">artists, and has likely provided a broader span of cultural forms, histories and artistic standards and values to audiences, it is also likely that the significant disparities in earnings for </w:t>
      </w:r>
      <w:r w:rsidR="00A76888">
        <w:rPr>
          <w:rFonts w:ascii="Arial" w:hAnsi="Arial" w:cs="Arial"/>
          <w:sz w:val="22"/>
          <w:szCs w:val="22"/>
          <w:lang w:val="en-CA"/>
        </w:rPr>
        <w:t>Indigenous</w:t>
      </w:r>
      <w:r w:rsidRPr="00097B0B">
        <w:rPr>
          <w:rFonts w:ascii="Arial" w:hAnsi="Arial" w:cs="Arial"/>
          <w:sz w:val="22"/>
          <w:szCs w:val="22"/>
          <w:lang w:val="en-CA"/>
        </w:rPr>
        <w:t xml:space="preserve">, racialized and immigrant artists are attributable to them being less employed than other artists. </w:t>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tabs>
          <w:tab w:val="left" w:pos="540"/>
        </w:tabs>
        <w:ind w:right="-241"/>
        <w:jc w:val="both"/>
        <w:rPr>
          <w:rFonts w:ascii="Arial" w:hAnsi="Arial" w:cs="Arial"/>
          <w:sz w:val="22"/>
          <w:szCs w:val="22"/>
          <w:lang w:val="en-CA"/>
        </w:rPr>
      </w:pPr>
      <w:r w:rsidRPr="00097B0B">
        <w:rPr>
          <w:rFonts w:ascii="Arial" w:hAnsi="Arial" w:cs="Arial"/>
          <w:sz w:val="22"/>
          <w:szCs w:val="22"/>
          <w:lang w:val="en-CA"/>
        </w:rPr>
        <w:t xml:space="preserve">This may be due to a number of factors, including the relative newness of </w:t>
      </w:r>
      <w:r w:rsidR="00E245E9">
        <w:rPr>
          <w:rFonts w:ascii="Arial" w:hAnsi="Arial" w:cs="Arial"/>
          <w:sz w:val="22"/>
          <w:szCs w:val="22"/>
          <w:lang w:val="en-CA"/>
        </w:rPr>
        <w:t xml:space="preserve">some of </w:t>
      </w:r>
      <w:r w:rsidRPr="00097B0B">
        <w:rPr>
          <w:rFonts w:ascii="Arial" w:hAnsi="Arial" w:cs="Arial"/>
          <w:sz w:val="22"/>
          <w:szCs w:val="22"/>
          <w:lang w:val="en-CA"/>
        </w:rPr>
        <w:t xml:space="preserve">these artists as well as the diverse cultural forms and values they bring to the arts that are different than the Eurocentric values and practices of the current Canadian arts ecology. In fact, the latter may be directly related to the lesser rate of earnings of </w:t>
      </w:r>
      <w:r w:rsidR="00A76888">
        <w:rPr>
          <w:rFonts w:ascii="Arial" w:hAnsi="Arial" w:cs="Arial"/>
          <w:sz w:val="22"/>
          <w:szCs w:val="22"/>
          <w:lang w:val="en-CA"/>
        </w:rPr>
        <w:t>Indigenous</w:t>
      </w:r>
      <w:r w:rsidRPr="00097B0B">
        <w:rPr>
          <w:rFonts w:ascii="Arial" w:hAnsi="Arial" w:cs="Arial"/>
          <w:sz w:val="22"/>
          <w:szCs w:val="22"/>
          <w:lang w:val="en-CA"/>
        </w:rPr>
        <w:t>, racialized and immigrant artists since the</w:t>
      </w:r>
      <w:r w:rsidR="00ED21B3">
        <w:rPr>
          <w:rFonts w:ascii="Arial" w:hAnsi="Arial" w:cs="Arial"/>
          <w:sz w:val="22"/>
          <w:szCs w:val="22"/>
          <w:lang w:val="en-CA"/>
        </w:rPr>
        <w:t xml:space="preserve">ir forms of cultural </w:t>
      </w:r>
      <w:r w:rsidRPr="00097B0B">
        <w:rPr>
          <w:rFonts w:ascii="Arial" w:hAnsi="Arial" w:cs="Arial"/>
          <w:sz w:val="22"/>
          <w:szCs w:val="22"/>
          <w:lang w:val="en-CA"/>
        </w:rPr>
        <w:t xml:space="preserve">expressions and stories (including costumes, myths, iconography, references, techniques, etc.) may draw on the rich histories and traditions of their own cultures and not be based on Eurocentric norms. Many in the arts’ field, including presenters, may see this as </w:t>
      </w:r>
      <w:r w:rsidR="00E245E9">
        <w:rPr>
          <w:rFonts w:ascii="Arial" w:hAnsi="Arial" w:cs="Arial"/>
          <w:sz w:val="22"/>
          <w:szCs w:val="22"/>
          <w:lang w:val="en-CA"/>
        </w:rPr>
        <w:t xml:space="preserve">not being </w:t>
      </w:r>
      <w:r w:rsidRPr="00097B0B">
        <w:rPr>
          <w:rFonts w:ascii="Arial" w:hAnsi="Arial" w:cs="Arial"/>
          <w:sz w:val="22"/>
          <w:szCs w:val="22"/>
          <w:lang w:val="en-CA"/>
        </w:rPr>
        <w:t xml:space="preserve">appropriate for ‘their audiences.’ </w:t>
      </w:r>
    </w:p>
    <w:p w:rsidR="00AE6101" w:rsidRPr="00097B0B" w:rsidRDefault="00AE6101" w:rsidP="00EC53F6">
      <w:pPr>
        <w:tabs>
          <w:tab w:val="left" w:pos="540"/>
        </w:tabs>
        <w:ind w:right="-241"/>
        <w:jc w:val="both"/>
        <w:rPr>
          <w:rFonts w:ascii="Arial" w:hAnsi="Arial" w:cs="Arial"/>
          <w:sz w:val="22"/>
          <w:szCs w:val="22"/>
          <w:lang w:val="en-CA"/>
        </w:rPr>
      </w:pPr>
    </w:p>
    <w:p w:rsidR="00AE6101" w:rsidRPr="00097B0B" w:rsidRDefault="00AE6101" w:rsidP="00EC53F6">
      <w:pPr>
        <w:tabs>
          <w:tab w:val="left" w:pos="540"/>
        </w:tabs>
        <w:ind w:right="-241"/>
        <w:jc w:val="both"/>
        <w:rPr>
          <w:rFonts w:ascii="Arial" w:hAnsi="Arial" w:cs="Arial"/>
          <w:sz w:val="22"/>
          <w:szCs w:val="22"/>
          <w:lang w:val="en-CA"/>
        </w:rPr>
      </w:pPr>
      <w:r w:rsidRPr="00097B0B">
        <w:rPr>
          <w:rFonts w:ascii="Arial" w:hAnsi="Arial" w:cs="Arial"/>
          <w:sz w:val="22"/>
          <w:szCs w:val="22"/>
        </w:rPr>
        <w:t xml:space="preserve">Another issue is that what’s considered ‘contemporary’ by </w:t>
      </w:r>
      <w:r w:rsidR="00A76888">
        <w:rPr>
          <w:rFonts w:ascii="Arial" w:hAnsi="Arial" w:cs="Arial"/>
          <w:sz w:val="22"/>
          <w:szCs w:val="22"/>
        </w:rPr>
        <w:t>Indigenous</w:t>
      </w:r>
      <w:r w:rsidRPr="00097B0B">
        <w:rPr>
          <w:rFonts w:ascii="Arial" w:hAnsi="Arial" w:cs="Arial"/>
          <w:sz w:val="22"/>
          <w:szCs w:val="22"/>
        </w:rPr>
        <w:t xml:space="preserve">, racialized and </w:t>
      </w:r>
      <w:r w:rsidR="00ED21B3">
        <w:rPr>
          <w:rFonts w:ascii="Arial" w:hAnsi="Arial" w:cs="Arial"/>
          <w:sz w:val="22"/>
          <w:szCs w:val="22"/>
        </w:rPr>
        <w:t>other marginalized</w:t>
      </w:r>
      <w:r w:rsidRPr="00097B0B">
        <w:rPr>
          <w:rFonts w:ascii="Arial" w:hAnsi="Arial" w:cs="Arial"/>
          <w:sz w:val="22"/>
          <w:szCs w:val="22"/>
        </w:rPr>
        <w:t xml:space="preserve"> artists are often not conside</w:t>
      </w:r>
      <w:r w:rsidR="00E245E9">
        <w:rPr>
          <w:rFonts w:ascii="Arial" w:hAnsi="Arial" w:cs="Arial"/>
          <w:sz w:val="22"/>
          <w:szCs w:val="22"/>
        </w:rPr>
        <w:t xml:space="preserve">red to be ‘contemporary’ </w:t>
      </w:r>
      <w:r w:rsidRPr="00097B0B">
        <w:rPr>
          <w:rFonts w:ascii="Arial" w:hAnsi="Arial" w:cs="Arial"/>
          <w:sz w:val="22"/>
          <w:szCs w:val="22"/>
        </w:rPr>
        <w:t xml:space="preserve">by </w:t>
      </w:r>
      <w:r w:rsidR="00E245E9">
        <w:rPr>
          <w:rFonts w:ascii="Arial" w:hAnsi="Arial" w:cs="Arial"/>
          <w:sz w:val="22"/>
          <w:szCs w:val="22"/>
        </w:rPr>
        <w:t>the current arts system.</w:t>
      </w:r>
      <w:r>
        <w:rPr>
          <w:rStyle w:val="FootnoteReference"/>
          <w:rFonts w:ascii="Arial" w:hAnsi="Arial" w:cs="Arial"/>
          <w:sz w:val="22"/>
          <w:szCs w:val="22"/>
        </w:rPr>
        <w:footnoteReference w:id="41"/>
      </w:r>
      <w:r w:rsidRPr="00097B0B">
        <w:rPr>
          <w:rFonts w:ascii="Arial" w:hAnsi="Arial" w:cs="Arial"/>
          <w:sz w:val="22"/>
          <w:szCs w:val="22"/>
        </w:rPr>
        <w:t xml:space="preserve">  This likely occurs because of the given different evolution of styles, trends and artistic movements in different parts of the world. The contemporary arts milieu is very much based upon the standards of </w:t>
      </w:r>
      <w:r w:rsidR="00E245E9">
        <w:rPr>
          <w:rFonts w:ascii="Arial" w:hAnsi="Arial" w:cs="Arial"/>
          <w:sz w:val="22"/>
          <w:szCs w:val="22"/>
        </w:rPr>
        <w:t xml:space="preserve">the West and has not reached a substantive level in addressing </w:t>
      </w:r>
      <w:r w:rsidRPr="00097B0B">
        <w:rPr>
          <w:rFonts w:ascii="Arial" w:hAnsi="Arial" w:cs="Arial"/>
          <w:sz w:val="22"/>
          <w:szCs w:val="22"/>
        </w:rPr>
        <w:t xml:space="preserve">the important histories and artistic practices that had been suppressed during centuries of European domination and its insistence on universal values that were implicit in European systems of thought, governance, economics and civil society.  </w:t>
      </w:r>
    </w:p>
    <w:p w:rsidR="00AE6101" w:rsidRPr="00097B0B" w:rsidRDefault="00AE6101" w:rsidP="00EC53F6">
      <w:pPr>
        <w:tabs>
          <w:tab w:val="left" w:pos="540"/>
        </w:tabs>
        <w:ind w:right="-241"/>
        <w:jc w:val="both"/>
        <w:rPr>
          <w:rFonts w:ascii="Arial" w:hAnsi="Arial" w:cs="Arial"/>
          <w:sz w:val="22"/>
          <w:szCs w:val="22"/>
          <w:lang w:val="en-CA"/>
        </w:rPr>
      </w:pPr>
    </w:p>
    <w:p w:rsidR="00AE6101" w:rsidRDefault="00AE6101" w:rsidP="00EC53F6">
      <w:pPr>
        <w:widowControl w:val="0"/>
        <w:tabs>
          <w:tab w:val="left" w:pos="5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r w:rsidRPr="00097B0B">
        <w:rPr>
          <w:rFonts w:ascii="Arial" w:hAnsi="Arial" w:cs="Arial"/>
          <w:sz w:val="22"/>
          <w:szCs w:val="22"/>
          <w:lang w:val="en-CA" w:eastAsia="ja-JP"/>
        </w:rPr>
        <w:t xml:space="preserve">The change in demographics </w:t>
      </w:r>
      <w:r w:rsidR="00E245E9">
        <w:rPr>
          <w:rFonts w:ascii="Arial" w:hAnsi="Arial" w:cs="Arial"/>
          <w:sz w:val="22"/>
          <w:szCs w:val="22"/>
          <w:lang w:val="en-CA" w:eastAsia="ja-JP"/>
        </w:rPr>
        <w:t>and Indigenous presence in the public domain are</w:t>
      </w:r>
      <w:r w:rsidRPr="00097B0B">
        <w:rPr>
          <w:rFonts w:ascii="Arial" w:hAnsi="Arial" w:cs="Arial"/>
          <w:sz w:val="22"/>
          <w:szCs w:val="22"/>
          <w:lang w:val="en-CA" w:eastAsia="ja-JP"/>
        </w:rPr>
        <w:t xml:space="preserve"> supplanting traditional notions of Canadian culture as Eurocentric and addressing issues concerning groups mar</w:t>
      </w:r>
      <w:r w:rsidR="00E245E9">
        <w:rPr>
          <w:rFonts w:ascii="Arial" w:hAnsi="Arial" w:cs="Arial"/>
          <w:sz w:val="22"/>
          <w:szCs w:val="22"/>
          <w:lang w:val="en-CA" w:eastAsia="ja-JP"/>
        </w:rPr>
        <w:t xml:space="preserve">ginalized within that </w:t>
      </w:r>
      <w:r w:rsidR="00ED21B3">
        <w:rPr>
          <w:rFonts w:ascii="Arial" w:hAnsi="Arial" w:cs="Arial"/>
          <w:sz w:val="22"/>
          <w:szCs w:val="22"/>
          <w:lang w:val="en-CA" w:eastAsia="ja-JP"/>
        </w:rPr>
        <w:t xml:space="preserve">framework.  </w:t>
      </w:r>
      <w:r w:rsidRPr="00097B0B">
        <w:rPr>
          <w:rFonts w:ascii="Arial" w:hAnsi="Arial" w:cs="Arial"/>
          <w:sz w:val="22"/>
          <w:szCs w:val="22"/>
          <w:lang w:val="en-CA"/>
        </w:rPr>
        <w:t xml:space="preserve">The obvious challenge here is for the arts community generally to begin to understand that it is not possible to use traditional Western modes to assess the merits of diverse artistic forms and expressions of </w:t>
      </w:r>
      <w:r w:rsidR="00A76888">
        <w:rPr>
          <w:rFonts w:ascii="Arial" w:hAnsi="Arial" w:cs="Arial"/>
          <w:sz w:val="22"/>
          <w:szCs w:val="22"/>
          <w:lang w:val="en-CA"/>
        </w:rPr>
        <w:t>Indigenous</w:t>
      </w:r>
      <w:r w:rsidRPr="00097B0B">
        <w:rPr>
          <w:rFonts w:ascii="Arial" w:hAnsi="Arial" w:cs="Arial"/>
          <w:sz w:val="22"/>
          <w:szCs w:val="22"/>
          <w:lang w:val="en-CA"/>
        </w:rPr>
        <w:t xml:space="preserve"> and racialized communities.</w:t>
      </w:r>
      <w:r w:rsidRPr="00097B0B">
        <w:rPr>
          <w:rStyle w:val="FootnoteReference"/>
          <w:rFonts w:ascii="Arial" w:hAnsi="Arial" w:cs="Arial"/>
          <w:sz w:val="22"/>
          <w:szCs w:val="22"/>
          <w:lang w:val="en-CA"/>
        </w:rPr>
        <w:footnoteReference w:id="42"/>
      </w:r>
      <w:r w:rsidRPr="00097B0B">
        <w:rPr>
          <w:rFonts w:ascii="Arial" w:hAnsi="Arial" w:cs="Arial"/>
          <w:sz w:val="22"/>
          <w:szCs w:val="22"/>
          <w:lang w:val="en-CA"/>
        </w:rPr>
        <w:t xml:space="preserve"> Long-standing ‘standards of excellence only’ need to be re-assessed against the measure of a critical capacity, one that considers the ‘standpoint’ of presenters, i.e., their relationship to the production of knowledge and their adherence to a selective tradition that honours the notion that universal values in the arts derive from the European systems against which others are then measured. </w:t>
      </w:r>
      <w:r w:rsidR="00E245E9">
        <w:rPr>
          <w:rFonts w:ascii="Arial" w:hAnsi="Arial" w:cs="Arial"/>
          <w:sz w:val="22"/>
          <w:szCs w:val="22"/>
          <w:lang w:val="en-CA"/>
        </w:rPr>
        <w:t xml:space="preserve">Such an approach cuts short </w:t>
      </w:r>
      <w:r w:rsidRPr="00097B0B">
        <w:rPr>
          <w:rFonts w:ascii="Arial" w:hAnsi="Arial" w:cs="Arial"/>
          <w:sz w:val="22"/>
          <w:szCs w:val="22"/>
          <w:lang w:val="en-CA"/>
        </w:rPr>
        <w:t xml:space="preserve">dialogue about the values and selective traditions of </w:t>
      </w:r>
      <w:r w:rsidR="00A76888">
        <w:rPr>
          <w:rFonts w:ascii="Arial" w:hAnsi="Arial" w:cs="Arial"/>
          <w:sz w:val="22"/>
          <w:szCs w:val="22"/>
          <w:lang w:val="en-CA"/>
        </w:rPr>
        <w:t>Indigenous</w:t>
      </w:r>
      <w:r w:rsidRPr="00097B0B">
        <w:rPr>
          <w:rFonts w:ascii="Arial" w:hAnsi="Arial" w:cs="Arial"/>
          <w:sz w:val="22"/>
          <w:szCs w:val="22"/>
          <w:lang w:val="en-CA"/>
        </w:rPr>
        <w:t xml:space="preserve"> and racialized groups and their importance in influencing the creative expressions of artists from these communities.</w:t>
      </w:r>
    </w:p>
    <w:p w:rsidR="00AE6101" w:rsidRDefault="00AE6101" w:rsidP="00EC53F6">
      <w:pPr>
        <w:tabs>
          <w:tab w:val="left" w:pos="540"/>
        </w:tabs>
        <w:ind w:right="-241"/>
        <w:jc w:val="both"/>
        <w:rPr>
          <w:rFonts w:ascii="Arial" w:hAnsi="Arial" w:cs="Arial"/>
          <w:sz w:val="22"/>
          <w:szCs w:val="22"/>
          <w:lang w:val="en-CA"/>
        </w:rPr>
      </w:pPr>
    </w:p>
    <w:p w:rsidR="00AE6101" w:rsidRPr="00097B0B" w:rsidRDefault="00A76888"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outlineLvl w:val="0"/>
        <w:rPr>
          <w:rFonts w:ascii="Arial" w:hAnsi="Arial" w:cs="Arial"/>
          <w:b/>
          <w:sz w:val="22"/>
          <w:szCs w:val="22"/>
          <w:lang w:val="en-CA" w:eastAsia="ja-JP"/>
        </w:rPr>
      </w:pPr>
      <w:r>
        <w:rPr>
          <w:rFonts w:ascii="Arial" w:hAnsi="Arial" w:cs="Arial"/>
          <w:b/>
          <w:sz w:val="22"/>
          <w:szCs w:val="22"/>
          <w:lang w:val="en-CA" w:eastAsia="ja-JP"/>
        </w:rPr>
        <w:t>3</w:t>
      </w:r>
      <w:r w:rsidR="00AE6101" w:rsidRPr="00097B0B">
        <w:rPr>
          <w:rFonts w:ascii="Arial" w:hAnsi="Arial" w:cs="Arial"/>
          <w:b/>
          <w:sz w:val="22"/>
          <w:szCs w:val="22"/>
          <w:lang w:val="en-CA" w:eastAsia="ja-JP"/>
        </w:rPr>
        <w:t xml:space="preserve">. </w:t>
      </w:r>
      <w:r w:rsidR="00AE6101" w:rsidRPr="00097B0B">
        <w:rPr>
          <w:rFonts w:ascii="Arial" w:hAnsi="Arial" w:cs="Arial"/>
          <w:b/>
          <w:sz w:val="22"/>
          <w:szCs w:val="22"/>
          <w:lang w:val="en-CA" w:eastAsia="ja-JP"/>
        </w:rPr>
        <w:tab/>
      </w:r>
      <w:r>
        <w:rPr>
          <w:rFonts w:ascii="Arial" w:hAnsi="Arial" w:cs="Arial"/>
          <w:b/>
          <w:sz w:val="22"/>
          <w:szCs w:val="22"/>
          <w:lang w:val="en-CA" w:eastAsia="ja-JP"/>
        </w:rPr>
        <w:t>Indigenous</w:t>
      </w:r>
      <w:r w:rsidR="00AE6101" w:rsidRPr="00097B0B">
        <w:rPr>
          <w:rFonts w:ascii="Arial" w:hAnsi="Arial" w:cs="Arial"/>
          <w:b/>
          <w:sz w:val="22"/>
          <w:szCs w:val="22"/>
          <w:lang w:val="en-CA" w:eastAsia="ja-JP"/>
        </w:rPr>
        <w:t xml:space="preserve"> and Equity Group Audience Engagement in the Arts:</w:t>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b/>
          <w:sz w:val="22"/>
          <w:szCs w:val="22"/>
          <w:lang w:val="en-CA" w:eastAsia="ja-JP"/>
        </w:rPr>
      </w:pP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r w:rsidRPr="00097B0B">
        <w:rPr>
          <w:rFonts w:ascii="Arial" w:hAnsi="Arial" w:cs="Arial"/>
          <w:sz w:val="22"/>
          <w:szCs w:val="22"/>
          <w:lang w:val="en-CA" w:eastAsia="ja-JP"/>
        </w:rPr>
        <w:t xml:space="preserve">In </w:t>
      </w:r>
      <w:r w:rsidRPr="00097B0B">
        <w:rPr>
          <w:rFonts w:ascii="Arial" w:hAnsi="Arial" w:cs="Arial"/>
          <w:i/>
          <w:sz w:val="22"/>
          <w:szCs w:val="22"/>
          <w:lang w:eastAsia="ja-JP"/>
        </w:rPr>
        <w:t>Trends in the Arts and Arts Funding</w:t>
      </w:r>
      <w:r w:rsidRPr="00097B0B">
        <w:rPr>
          <w:rFonts w:ascii="Arial" w:hAnsi="Arial" w:cs="Arial"/>
          <w:sz w:val="22"/>
          <w:szCs w:val="22"/>
          <w:lang w:eastAsia="ja-JP"/>
        </w:rPr>
        <w:t>,</w:t>
      </w:r>
      <w:r w:rsidRPr="00097B0B">
        <w:rPr>
          <w:rFonts w:ascii="Arial" w:hAnsi="Arial" w:cs="Arial"/>
          <w:sz w:val="22"/>
          <w:szCs w:val="22"/>
          <w:lang w:val="en-CA" w:eastAsia="ja-JP"/>
        </w:rPr>
        <w:t xml:space="preserve"> Malatest suggests that “(a)rts organizations are constantly looking to broaden, deepen and diversify their audiences. The focus on audience development has intensified in recent years as the competition for leisure time has increased and as the changing ethnic and cultural mosaic has caused professionals to re-evaluate the nature of the public and their target demographic.”</w:t>
      </w:r>
      <w:r w:rsidRPr="00097B0B">
        <w:rPr>
          <w:rStyle w:val="FootnoteReference"/>
          <w:rFonts w:ascii="Arial" w:hAnsi="Arial" w:cs="Arial"/>
          <w:sz w:val="22"/>
          <w:szCs w:val="22"/>
          <w:lang w:val="en-CA" w:eastAsia="ja-JP"/>
        </w:rPr>
        <w:footnoteReference w:id="43"/>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sz w:val="22"/>
          <w:szCs w:val="22"/>
          <w:lang w:val="en-CA" w:eastAsia="ja-JP"/>
        </w:rPr>
      </w:pPr>
      <w:r w:rsidRPr="00097B0B">
        <w:rPr>
          <w:rFonts w:ascii="Arial" w:hAnsi="Arial" w:cs="Arial"/>
          <w:sz w:val="22"/>
          <w:szCs w:val="22"/>
          <w:lang w:val="en-CA" w:eastAsia="ja-JP"/>
        </w:rPr>
        <w:t>According to Hill Strategies, Canadians spent $1.426 billion on live performing arts in 2008 compared with $1.216 billion on movie admissions, $645 billion on sports events and $519 billion on museum admissions. Data also indicates that 37% of Canadian households spent money on live performing arts compared to 55% on movies, 29% on museums and 17% on sports events.</w:t>
      </w:r>
      <w:r w:rsidRPr="00097B0B">
        <w:rPr>
          <w:rStyle w:val="FootnoteReference"/>
          <w:rFonts w:ascii="Arial" w:hAnsi="Arial" w:cs="Arial"/>
          <w:sz w:val="22"/>
          <w:szCs w:val="22"/>
          <w:lang w:val="en-CA" w:eastAsia="ja-JP"/>
        </w:rPr>
        <w:footnoteReference w:id="44"/>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b/>
          <w:sz w:val="22"/>
          <w:szCs w:val="22"/>
          <w:lang w:val="en-CA" w:eastAsia="ja-JP"/>
        </w:rPr>
      </w:pPr>
    </w:p>
    <w:p w:rsidR="00AE6101" w:rsidRPr="00097B0B" w:rsidRDefault="00AE6101" w:rsidP="00EC53F6">
      <w:pPr>
        <w:ind w:right="-241"/>
        <w:jc w:val="both"/>
        <w:rPr>
          <w:rFonts w:ascii="Arial" w:hAnsi="Arial" w:cs="Arial"/>
          <w:sz w:val="22"/>
          <w:szCs w:val="22"/>
          <w:lang w:val="en-CA" w:eastAsia="ja-JP"/>
        </w:rPr>
      </w:pPr>
      <w:r w:rsidRPr="00097B0B">
        <w:rPr>
          <w:rFonts w:ascii="Arial" w:hAnsi="Arial" w:cs="Arial"/>
          <w:sz w:val="22"/>
          <w:szCs w:val="22"/>
          <w:lang w:val="en-CA" w:eastAsia="ja-JP"/>
        </w:rPr>
        <w:t>Before the Hill Strateg</w:t>
      </w:r>
      <w:r w:rsidR="006205A5">
        <w:rPr>
          <w:rFonts w:ascii="Arial" w:hAnsi="Arial" w:cs="Arial"/>
          <w:sz w:val="22"/>
          <w:szCs w:val="22"/>
          <w:lang w:val="en-CA" w:eastAsia="ja-JP"/>
        </w:rPr>
        <w:t>ies report was released</w:t>
      </w:r>
      <w:r w:rsidRPr="00097B0B">
        <w:rPr>
          <w:rFonts w:ascii="Arial" w:hAnsi="Arial" w:cs="Arial"/>
          <w:sz w:val="22"/>
          <w:szCs w:val="22"/>
          <w:lang w:val="en-CA" w:eastAsia="ja-JP"/>
        </w:rPr>
        <w:t>:</w:t>
      </w:r>
    </w:p>
    <w:p w:rsidR="00AE6101" w:rsidRPr="00097B0B" w:rsidRDefault="00AE6101" w:rsidP="00EC53F6">
      <w:pPr>
        <w:ind w:right="-241"/>
        <w:jc w:val="both"/>
        <w:rPr>
          <w:rFonts w:ascii="Arial" w:hAnsi="Arial" w:cs="Arial"/>
          <w:sz w:val="22"/>
          <w:szCs w:val="22"/>
          <w:lang w:val="en-CA" w:eastAsia="ja-JP"/>
        </w:rPr>
      </w:pPr>
    </w:p>
    <w:p w:rsidR="00AE6101" w:rsidRPr="00097B0B" w:rsidRDefault="00AE6101" w:rsidP="00EC53F6">
      <w:pPr>
        <w:pStyle w:val="ListParagraph"/>
        <w:numPr>
          <w:ilvl w:val="0"/>
          <w:numId w:val="7"/>
        </w:numPr>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 2001 Decima research study indicated that 86% of Canadians were interested in seeing arts from different cultures and that, in 2004, 44% of Canadians attended a live performance or exhibit of diverse cultures;</w:t>
      </w:r>
    </w:p>
    <w:p w:rsidR="00AE6101" w:rsidRPr="00097B0B" w:rsidRDefault="00AE6101" w:rsidP="00EC53F6">
      <w:pPr>
        <w:pStyle w:val="ListParagraph"/>
        <w:ind w:left="0" w:right="-241"/>
        <w:jc w:val="both"/>
        <w:rPr>
          <w:rFonts w:ascii="Arial" w:hAnsi="Arial" w:cs="Arial"/>
          <w:sz w:val="22"/>
          <w:szCs w:val="22"/>
          <w:lang w:val="en-CA" w:eastAsia="ja-JP"/>
        </w:rPr>
      </w:pPr>
    </w:p>
    <w:p w:rsidR="00AE6101" w:rsidRPr="00097B0B" w:rsidRDefault="00AE6101" w:rsidP="00EC53F6">
      <w:pPr>
        <w:pStyle w:val="ListParagraph"/>
        <w:numPr>
          <w:ilvl w:val="0"/>
          <w:numId w:val="7"/>
        </w:numPr>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 2001 Environics survey suggested that 75% of Canadians of ‘ethnic minority backgrounds’ were interested in arts activities expressing their own cultures; and</w:t>
      </w:r>
    </w:p>
    <w:p w:rsidR="00AE6101" w:rsidRPr="00097B0B" w:rsidRDefault="00AE6101" w:rsidP="00EC53F6">
      <w:pPr>
        <w:pStyle w:val="ListParagraph"/>
        <w:ind w:left="0" w:right="-241"/>
        <w:jc w:val="both"/>
        <w:rPr>
          <w:rFonts w:ascii="Arial" w:hAnsi="Arial" w:cs="Arial"/>
          <w:sz w:val="22"/>
          <w:szCs w:val="22"/>
          <w:lang w:val="en-CA" w:eastAsia="ja-JP"/>
        </w:rPr>
      </w:pPr>
    </w:p>
    <w:p w:rsidR="00AE6101" w:rsidRPr="00097B0B" w:rsidRDefault="00AE6101" w:rsidP="00EC53F6">
      <w:pPr>
        <w:pStyle w:val="ListParagraph"/>
        <w:numPr>
          <w:ilvl w:val="0"/>
          <w:numId w:val="7"/>
        </w:numPr>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 2003 Ethnic Diversity Survey conducted by 63% (6.5 million people) indicated that maintaining ethnic customs and traditions was important.</w:t>
      </w:r>
      <w:r w:rsidRPr="00097B0B">
        <w:rPr>
          <w:rStyle w:val="FootnoteReference"/>
          <w:rFonts w:ascii="Arial" w:hAnsi="Arial" w:cs="Arial"/>
          <w:sz w:val="22"/>
          <w:szCs w:val="22"/>
          <w:lang w:val="en-CA" w:eastAsia="ja-JP"/>
        </w:rPr>
        <w:footnoteReference w:id="45"/>
      </w:r>
    </w:p>
    <w:p w:rsidR="00AE6101" w:rsidRPr="00097B0B" w:rsidRDefault="00AE6101" w:rsidP="00EC53F6">
      <w:pPr>
        <w:ind w:right="-241"/>
        <w:jc w:val="both"/>
        <w:rPr>
          <w:rFonts w:ascii="Arial" w:hAnsi="Arial" w:cs="Arial"/>
          <w:sz w:val="22"/>
          <w:szCs w:val="22"/>
          <w:lang w:val="en-CA" w:eastAsia="ja-JP"/>
        </w:rPr>
      </w:pPr>
    </w:p>
    <w:p w:rsidR="00AE6101" w:rsidRPr="00097B0B" w:rsidRDefault="00AE6101" w:rsidP="00EC53F6">
      <w:pPr>
        <w:ind w:right="-241"/>
        <w:jc w:val="both"/>
        <w:rPr>
          <w:rFonts w:ascii="Arial" w:hAnsi="Arial" w:cs="Arial"/>
          <w:sz w:val="22"/>
          <w:szCs w:val="22"/>
          <w:lang w:val="en-CA" w:eastAsia="ja-JP"/>
        </w:rPr>
      </w:pPr>
      <w:r w:rsidRPr="00097B0B">
        <w:rPr>
          <w:rFonts w:ascii="Arial" w:hAnsi="Arial" w:cs="Arial"/>
          <w:sz w:val="22"/>
          <w:szCs w:val="22"/>
          <w:lang w:val="en-CA" w:eastAsia="ja-JP"/>
        </w:rPr>
        <w:t>Cultural and Human Resources Canada has identified a number of concerns amongst presenters related to audience development and engagement. These are:</w:t>
      </w:r>
    </w:p>
    <w:p w:rsidR="00AE6101" w:rsidRPr="00097B0B" w:rsidRDefault="00AE6101" w:rsidP="00EC53F6">
      <w:pPr>
        <w:ind w:right="-241"/>
        <w:jc w:val="both"/>
        <w:rPr>
          <w:rFonts w:ascii="Arial" w:hAnsi="Arial" w:cs="Arial"/>
          <w:sz w:val="22"/>
          <w:szCs w:val="22"/>
          <w:lang w:val="en-CA" w:eastAsia="ja-JP"/>
        </w:rPr>
      </w:pPr>
    </w:p>
    <w:p w:rsidR="00AE6101" w:rsidRPr="00097B0B" w:rsidRDefault="00AE6101" w:rsidP="00EC53F6">
      <w:pPr>
        <w:pStyle w:val="ListParagraph"/>
        <w:numPr>
          <w:ilvl w:val="0"/>
          <w:numId w:val="8"/>
        </w:numPr>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an aging population as both opportunity and challenge as this cohort may have both time and disposable income but requires attention to be on top of their interests in the arts;</w:t>
      </w:r>
    </w:p>
    <w:p w:rsidR="00AE6101" w:rsidRPr="00097B0B" w:rsidRDefault="00AE6101" w:rsidP="00EC53F6">
      <w:pPr>
        <w:pStyle w:val="ListParagraph"/>
        <w:ind w:left="0" w:right="-241"/>
        <w:jc w:val="both"/>
        <w:rPr>
          <w:rFonts w:ascii="Arial" w:hAnsi="Arial" w:cs="Arial"/>
          <w:sz w:val="22"/>
          <w:szCs w:val="22"/>
          <w:lang w:val="en-CA" w:eastAsia="ja-JP"/>
        </w:rPr>
      </w:pPr>
    </w:p>
    <w:p w:rsidR="00AE6101" w:rsidRPr="00097B0B" w:rsidRDefault="00AE6101" w:rsidP="00EC53F6">
      <w:pPr>
        <w:pStyle w:val="ListParagraph"/>
        <w:numPr>
          <w:ilvl w:val="0"/>
          <w:numId w:val="8"/>
        </w:numPr>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accessibility for persons with disabilities who may require a range of accommodations in order to engage in arts activities;</w:t>
      </w:r>
    </w:p>
    <w:p w:rsidR="00AE6101" w:rsidRPr="00097B0B" w:rsidRDefault="00AE6101" w:rsidP="00EC53F6">
      <w:pPr>
        <w:ind w:right="-241"/>
        <w:jc w:val="both"/>
        <w:rPr>
          <w:rFonts w:ascii="Arial" w:hAnsi="Arial" w:cs="Arial"/>
          <w:sz w:val="22"/>
          <w:szCs w:val="22"/>
          <w:lang w:val="en-CA" w:eastAsia="ja-JP"/>
        </w:rPr>
      </w:pPr>
    </w:p>
    <w:p w:rsidR="00AE6101" w:rsidRPr="00097B0B" w:rsidRDefault="00AE6101" w:rsidP="00EC53F6">
      <w:pPr>
        <w:pStyle w:val="ListParagraph"/>
        <w:numPr>
          <w:ilvl w:val="0"/>
          <w:numId w:val="8"/>
        </w:numPr>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challenges resulting from shrinking attendance of ‘baby boomers’ and the relative lack of engagement/development of younger audiences and the impact this will have on the market for live entertainment; and</w:t>
      </w:r>
    </w:p>
    <w:p w:rsidR="00AE6101" w:rsidRPr="00097B0B" w:rsidRDefault="00AE6101" w:rsidP="00EC53F6">
      <w:pPr>
        <w:ind w:right="-241"/>
        <w:jc w:val="both"/>
        <w:rPr>
          <w:rFonts w:ascii="Arial" w:hAnsi="Arial" w:cs="Arial"/>
          <w:sz w:val="22"/>
          <w:szCs w:val="22"/>
          <w:lang w:val="en-CA" w:eastAsia="ja-JP"/>
        </w:rPr>
      </w:pPr>
    </w:p>
    <w:p w:rsidR="00AE6101" w:rsidRPr="00097B0B" w:rsidRDefault="00AE6101" w:rsidP="00EC53F6">
      <w:pPr>
        <w:pStyle w:val="ListParagraph"/>
        <w:numPr>
          <w:ilvl w:val="0"/>
          <w:numId w:val="8"/>
        </w:numPr>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changes in audience/community demographics and the implications this has for the evolution of new genres, challenging presenters to maintain core audiences while building new ones.</w:t>
      </w:r>
      <w:r w:rsidRPr="00097B0B">
        <w:rPr>
          <w:rStyle w:val="FootnoteReference"/>
          <w:rFonts w:ascii="Arial" w:hAnsi="Arial" w:cs="Arial"/>
          <w:sz w:val="22"/>
          <w:szCs w:val="22"/>
          <w:lang w:val="en-CA" w:eastAsia="ja-JP"/>
        </w:rPr>
        <w:footnoteReference w:id="46"/>
      </w:r>
    </w:p>
    <w:p w:rsidR="00AE6101" w:rsidRPr="00097B0B" w:rsidRDefault="00AE6101" w:rsidP="00EC53F6">
      <w:pPr>
        <w:ind w:right="-241"/>
        <w:jc w:val="both"/>
        <w:rPr>
          <w:rFonts w:ascii="Arial" w:hAnsi="Arial" w:cs="Arial"/>
          <w:sz w:val="22"/>
          <w:szCs w:val="22"/>
          <w:lang w:val="en-CA" w:eastAsia="ja-JP"/>
        </w:rPr>
      </w:pPr>
    </w:p>
    <w:p w:rsidR="00AE6101" w:rsidRPr="00097B0B" w:rsidRDefault="00AE6101" w:rsidP="00EC53F6">
      <w:pPr>
        <w:pStyle w:val="ListParagraph"/>
        <w:numPr>
          <w:ilvl w:val="0"/>
          <w:numId w:val="11"/>
        </w:numPr>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individuals with disabilities attend performances at 33% compared to 43% who do not have such limitations;</w:t>
      </w:r>
    </w:p>
    <w:p w:rsidR="00AE6101" w:rsidRPr="00097B0B" w:rsidRDefault="00AE6101" w:rsidP="00EC53F6">
      <w:pPr>
        <w:ind w:right="-241"/>
        <w:jc w:val="both"/>
        <w:rPr>
          <w:rFonts w:ascii="Arial" w:hAnsi="Arial" w:cs="Arial"/>
          <w:sz w:val="22"/>
          <w:szCs w:val="22"/>
          <w:lang w:val="en-CA" w:eastAsia="ja-JP"/>
        </w:rPr>
      </w:pPr>
    </w:p>
    <w:p w:rsidR="00AE6101" w:rsidRPr="00097B0B" w:rsidRDefault="00AE6101" w:rsidP="00EC53F6">
      <w:pPr>
        <w:pStyle w:val="ListParagraph"/>
        <w:numPr>
          <w:ilvl w:val="0"/>
          <w:numId w:val="11"/>
        </w:numPr>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attendance rates are higher for Canadian born, 43%, v. 36% for those born elsewhere. Of this latter figure, 46% were European v. 28% for other countries;</w:t>
      </w:r>
    </w:p>
    <w:p w:rsidR="00AE6101" w:rsidRPr="00097B0B" w:rsidRDefault="00AE6101" w:rsidP="00EC53F6">
      <w:pPr>
        <w:ind w:right="-241"/>
        <w:jc w:val="both"/>
        <w:rPr>
          <w:rFonts w:ascii="Arial" w:hAnsi="Arial" w:cs="Arial"/>
          <w:sz w:val="22"/>
          <w:szCs w:val="22"/>
          <w:lang w:val="en-CA" w:eastAsia="ja-JP"/>
        </w:rPr>
      </w:pPr>
    </w:p>
    <w:p w:rsidR="004E127E" w:rsidRPr="000C0EB3" w:rsidRDefault="00AE6101" w:rsidP="00EC53F6">
      <w:pPr>
        <w:pStyle w:val="ListParagraph"/>
        <w:numPr>
          <w:ilvl w:val="0"/>
          <w:numId w:val="11"/>
        </w:numPr>
        <w:ind w:left="0" w:right="-241" w:firstLine="0"/>
        <w:jc w:val="both"/>
        <w:rPr>
          <w:rFonts w:ascii="Arial" w:hAnsi="Arial" w:cs="Arial"/>
          <w:sz w:val="22"/>
          <w:szCs w:val="22"/>
          <w:lang w:val="en-CA" w:eastAsia="ja-JP"/>
        </w:rPr>
      </w:pPr>
      <w:r w:rsidRPr="00097B0B">
        <w:rPr>
          <w:rFonts w:ascii="Arial" w:hAnsi="Arial" w:cs="Arial"/>
          <w:sz w:val="22"/>
          <w:szCs w:val="22"/>
          <w:lang w:val="en-CA" w:eastAsia="ja-JP"/>
        </w:rPr>
        <w:t>Persons with disabilities were 23% less likely to attend a performance than those without such limitations</w:t>
      </w:r>
      <w:r w:rsidR="00ED21B3">
        <w:rPr>
          <w:rFonts w:ascii="Arial" w:hAnsi="Arial" w:cs="Arial"/>
          <w:sz w:val="22"/>
          <w:szCs w:val="22"/>
          <w:lang w:val="en-CA" w:eastAsia="ja-JP"/>
        </w:rPr>
        <w:t>.</w:t>
      </w:r>
      <w:r w:rsidRPr="00097B0B">
        <w:rPr>
          <w:rStyle w:val="FootnoteReference"/>
          <w:rFonts w:ascii="Arial" w:hAnsi="Arial" w:cs="Arial"/>
          <w:sz w:val="22"/>
          <w:szCs w:val="22"/>
          <w:lang w:val="en-CA" w:eastAsia="ja-JP"/>
        </w:rPr>
        <w:footnoteReference w:id="47"/>
      </w:r>
    </w:p>
    <w:p w:rsidR="004E127E" w:rsidRPr="004E127E" w:rsidRDefault="004E127E" w:rsidP="00EC53F6">
      <w:pPr>
        <w:pStyle w:val="ListParagraph"/>
        <w:ind w:left="0" w:right="-241"/>
        <w:jc w:val="both"/>
        <w:rPr>
          <w:rFonts w:ascii="Arial" w:hAnsi="Arial" w:cs="Arial"/>
          <w:sz w:val="22"/>
          <w:szCs w:val="22"/>
          <w:lang w:val="en-CA" w:eastAsia="ja-JP"/>
        </w:rPr>
      </w:pPr>
    </w:p>
    <w:p w:rsidR="00AE6101" w:rsidRPr="00097B0B" w:rsidRDefault="000C0EB3" w:rsidP="00EC53F6">
      <w:pPr>
        <w:ind w:right="-241"/>
        <w:jc w:val="both"/>
        <w:rPr>
          <w:rFonts w:ascii="Arial" w:hAnsi="Arial" w:cs="Arial"/>
          <w:sz w:val="22"/>
          <w:szCs w:val="22"/>
          <w:lang w:eastAsia="ja-JP"/>
        </w:rPr>
      </w:pPr>
      <w:r>
        <w:rPr>
          <w:rFonts w:ascii="Arial" w:hAnsi="Arial" w:cs="Arial"/>
          <w:sz w:val="22"/>
          <w:szCs w:val="22"/>
          <w:lang w:eastAsia="ja-JP"/>
        </w:rPr>
        <w:t>CPAMO sees this as a question of access and cite t</w:t>
      </w:r>
      <w:r w:rsidR="00AE6101" w:rsidRPr="00097B0B">
        <w:rPr>
          <w:rFonts w:ascii="Arial" w:hAnsi="Arial" w:cs="Arial"/>
          <w:sz w:val="22"/>
          <w:szCs w:val="22"/>
          <w:lang w:eastAsia="ja-JP"/>
        </w:rPr>
        <w:t>he findings of in-depth Ontario-wide study conducted by WolfBrown and Associates for the Ontario Arts Council</w:t>
      </w:r>
      <w:r>
        <w:rPr>
          <w:rFonts w:ascii="Arial" w:hAnsi="Arial" w:cs="Arial"/>
          <w:sz w:val="22"/>
          <w:szCs w:val="22"/>
          <w:lang w:eastAsia="ja-JP"/>
        </w:rPr>
        <w:t xml:space="preserve">that </w:t>
      </w:r>
      <w:r w:rsidR="00AE6101" w:rsidRPr="00097B0B">
        <w:rPr>
          <w:rFonts w:ascii="Arial" w:hAnsi="Arial" w:cs="Arial"/>
          <w:sz w:val="22"/>
          <w:szCs w:val="22"/>
          <w:lang w:eastAsia="ja-JP"/>
        </w:rPr>
        <w:t>provide</w:t>
      </w:r>
      <w:r>
        <w:rPr>
          <w:rFonts w:ascii="Arial" w:hAnsi="Arial" w:cs="Arial"/>
          <w:sz w:val="22"/>
          <w:szCs w:val="22"/>
          <w:lang w:eastAsia="ja-JP"/>
        </w:rPr>
        <w:t>s</w:t>
      </w:r>
      <w:r w:rsidR="00AE6101" w:rsidRPr="00097B0B">
        <w:rPr>
          <w:rFonts w:ascii="Arial" w:hAnsi="Arial" w:cs="Arial"/>
          <w:sz w:val="22"/>
          <w:szCs w:val="22"/>
          <w:lang w:eastAsia="ja-JP"/>
        </w:rPr>
        <w:t xml:space="preserve"> ample evidence of the interests of </w:t>
      </w:r>
      <w:r w:rsidR="00A76888">
        <w:rPr>
          <w:rFonts w:ascii="Arial" w:hAnsi="Arial" w:cs="Arial"/>
          <w:sz w:val="22"/>
          <w:szCs w:val="22"/>
          <w:lang w:eastAsia="ja-JP"/>
        </w:rPr>
        <w:t>Indigenous</w:t>
      </w:r>
      <w:r w:rsidR="00AE6101" w:rsidRPr="00097B0B">
        <w:rPr>
          <w:rFonts w:ascii="Arial" w:hAnsi="Arial" w:cs="Arial"/>
          <w:sz w:val="22"/>
          <w:szCs w:val="22"/>
          <w:lang w:eastAsia="ja-JP"/>
        </w:rPr>
        <w:t xml:space="preserve"> and racialized communities in the arts.  For example, WolfBrown notes the following:</w:t>
      </w:r>
    </w:p>
    <w:p w:rsidR="00AE6101" w:rsidRPr="00097B0B" w:rsidRDefault="00AE6101" w:rsidP="00EC53F6">
      <w:pPr>
        <w:ind w:right="-241"/>
        <w:jc w:val="both"/>
        <w:rPr>
          <w:rFonts w:ascii="Arial" w:hAnsi="Arial" w:cs="Arial"/>
          <w:sz w:val="22"/>
          <w:szCs w:val="22"/>
          <w:lang w:eastAsia="ja-JP"/>
        </w:rPr>
      </w:pPr>
    </w:p>
    <w:p w:rsidR="00AE6101" w:rsidRPr="00097B0B" w:rsidRDefault="00AE6101" w:rsidP="00EC53F6">
      <w:pPr>
        <w:pStyle w:val="ListParagraph"/>
        <w:numPr>
          <w:ilvl w:val="0"/>
          <w:numId w:val="13"/>
        </w:numPr>
        <w:ind w:left="0" w:right="-241" w:firstLine="0"/>
        <w:jc w:val="both"/>
        <w:rPr>
          <w:rFonts w:ascii="Arial" w:hAnsi="Arial" w:cs="Arial"/>
          <w:sz w:val="22"/>
          <w:szCs w:val="22"/>
          <w:lang w:eastAsia="ja-JP"/>
        </w:rPr>
      </w:pPr>
      <w:r w:rsidRPr="00097B0B">
        <w:rPr>
          <w:rFonts w:ascii="Arial" w:hAnsi="Arial" w:cs="Arial"/>
          <w:sz w:val="22"/>
          <w:szCs w:val="22"/>
          <w:lang w:eastAsia="ja-JP"/>
        </w:rPr>
        <w:t>racialized communities are more engaged than their White counterparts in arts learning and skills acquisition with persons of African-descent more engaged in community-based arts events;</w:t>
      </w:r>
    </w:p>
    <w:p w:rsidR="00AE6101" w:rsidRPr="00097B0B" w:rsidRDefault="00AE6101" w:rsidP="00EC53F6">
      <w:pPr>
        <w:pStyle w:val="ListParagraph"/>
        <w:ind w:left="0" w:right="-241"/>
        <w:jc w:val="both"/>
        <w:rPr>
          <w:rFonts w:ascii="Arial" w:hAnsi="Arial" w:cs="Arial"/>
          <w:sz w:val="22"/>
          <w:szCs w:val="22"/>
          <w:lang w:eastAsia="ja-JP"/>
        </w:rPr>
      </w:pPr>
    </w:p>
    <w:p w:rsidR="00AE6101" w:rsidRPr="00097B0B" w:rsidRDefault="00A76888" w:rsidP="00EC53F6">
      <w:pPr>
        <w:pStyle w:val="ListParagraph"/>
        <w:numPr>
          <w:ilvl w:val="0"/>
          <w:numId w:val="13"/>
        </w:numPr>
        <w:ind w:left="0" w:right="-241" w:firstLine="0"/>
        <w:jc w:val="both"/>
        <w:rPr>
          <w:rFonts w:ascii="Arial" w:hAnsi="Arial" w:cs="Arial"/>
          <w:sz w:val="22"/>
          <w:szCs w:val="22"/>
          <w:lang w:eastAsia="ja-JP"/>
        </w:rPr>
      </w:pPr>
      <w:r>
        <w:rPr>
          <w:rFonts w:ascii="Arial" w:hAnsi="Arial" w:cs="Arial"/>
          <w:sz w:val="22"/>
          <w:szCs w:val="22"/>
          <w:lang w:eastAsia="ja-JP"/>
        </w:rPr>
        <w:t>Indigenous</w:t>
      </w:r>
      <w:r w:rsidR="00AE6101" w:rsidRPr="00097B0B">
        <w:rPr>
          <w:rFonts w:ascii="Arial" w:hAnsi="Arial" w:cs="Arial"/>
          <w:sz w:val="22"/>
          <w:szCs w:val="22"/>
          <w:lang w:eastAsia="ja-JP"/>
        </w:rPr>
        <w:t xml:space="preserve"> peoples are more engaged in inventive activities than their White counterparts</w:t>
      </w:r>
      <w:r w:rsidR="000C0EB3">
        <w:rPr>
          <w:rFonts w:ascii="Arial" w:hAnsi="Arial" w:cs="Arial"/>
          <w:sz w:val="22"/>
          <w:szCs w:val="22"/>
          <w:lang w:eastAsia="ja-JP"/>
        </w:rPr>
        <w:t>;</w:t>
      </w:r>
      <w:r w:rsidR="00AE6101" w:rsidRPr="00097B0B">
        <w:rPr>
          <w:rStyle w:val="FootnoteReference"/>
          <w:rFonts w:ascii="Arial" w:hAnsi="Arial" w:cs="Arial"/>
          <w:sz w:val="22"/>
          <w:szCs w:val="22"/>
          <w:lang w:eastAsia="ja-JP"/>
        </w:rPr>
        <w:footnoteReference w:id="48"/>
      </w:r>
    </w:p>
    <w:p w:rsidR="00AE6101" w:rsidRPr="00097B0B" w:rsidRDefault="00AE6101" w:rsidP="00EC53F6">
      <w:pPr>
        <w:ind w:right="-241"/>
        <w:jc w:val="both"/>
        <w:rPr>
          <w:rFonts w:ascii="Arial" w:hAnsi="Arial" w:cs="Arial"/>
          <w:sz w:val="22"/>
          <w:szCs w:val="22"/>
          <w:lang w:eastAsia="ja-JP"/>
        </w:rPr>
      </w:pPr>
    </w:p>
    <w:p w:rsidR="00AE6101" w:rsidRDefault="00AE6101" w:rsidP="00EC53F6">
      <w:pPr>
        <w:pStyle w:val="ListParagraph"/>
        <w:numPr>
          <w:ilvl w:val="0"/>
          <w:numId w:val="13"/>
        </w:numPr>
        <w:ind w:left="0" w:right="-241" w:firstLine="0"/>
        <w:jc w:val="both"/>
        <w:rPr>
          <w:rFonts w:ascii="Arial" w:hAnsi="Arial" w:cs="Arial"/>
          <w:sz w:val="22"/>
          <w:szCs w:val="22"/>
          <w:lang w:eastAsia="ja-JP"/>
        </w:rPr>
      </w:pPr>
      <w:r w:rsidRPr="00097B0B">
        <w:rPr>
          <w:rFonts w:ascii="Arial" w:hAnsi="Arial" w:cs="Arial"/>
          <w:sz w:val="22"/>
          <w:szCs w:val="22"/>
          <w:lang w:eastAsia="ja-JP"/>
        </w:rPr>
        <w:t>study respondents connected to their own cultural heritage are more likely to be engaged in arts activities, particularly those interested in other cultures;</w:t>
      </w:r>
    </w:p>
    <w:p w:rsidR="00AE6101" w:rsidRPr="00C7142B" w:rsidRDefault="00AE6101" w:rsidP="00EC53F6">
      <w:pPr>
        <w:ind w:right="-241"/>
        <w:jc w:val="both"/>
        <w:rPr>
          <w:rFonts w:ascii="Arial" w:hAnsi="Arial" w:cs="Arial"/>
          <w:sz w:val="22"/>
          <w:szCs w:val="22"/>
          <w:lang w:eastAsia="ja-JP"/>
        </w:rPr>
      </w:pPr>
    </w:p>
    <w:p w:rsidR="00AE6101" w:rsidRPr="00C7142B" w:rsidRDefault="00AE6101" w:rsidP="00EC53F6">
      <w:pPr>
        <w:pStyle w:val="ListParagraph"/>
        <w:numPr>
          <w:ilvl w:val="0"/>
          <w:numId w:val="13"/>
        </w:numPr>
        <w:ind w:left="0" w:right="-241" w:firstLine="0"/>
        <w:jc w:val="both"/>
        <w:rPr>
          <w:rFonts w:ascii="Arial" w:hAnsi="Arial" w:cs="Arial"/>
          <w:sz w:val="22"/>
          <w:szCs w:val="22"/>
          <w:lang w:eastAsia="ja-JP"/>
        </w:rPr>
      </w:pPr>
      <w:r w:rsidRPr="00C7142B">
        <w:rPr>
          <w:rFonts w:ascii="Arial" w:hAnsi="Arial" w:cs="Arial"/>
          <w:sz w:val="22"/>
          <w:szCs w:val="22"/>
          <w:lang w:eastAsia="ja-JP"/>
        </w:rPr>
        <w:t xml:space="preserve">racialized and </w:t>
      </w:r>
      <w:r w:rsidR="00A76888">
        <w:rPr>
          <w:rFonts w:ascii="Arial" w:hAnsi="Arial" w:cs="Arial"/>
          <w:sz w:val="22"/>
          <w:szCs w:val="22"/>
          <w:lang w:eastAsia="ja-JP"/>
        </w:rPr>
        <w:t>Indigenous</w:t>
      </w:r>
      <w:r w:rsidRPr="00C7142B">
        <w:rPr>
          <w:rFonts w:ascii="Arial" w:hAnsi="Arial" w:cs="Arial"/>
          <w:sz w:val="22"/>
          <w:szCs w:val="22"/>
          <w:lang w:eastAsia="ja-JP"/>
        </w:rPr>
        <w:t xml:space="preserve"> communities appear to be more engaged in participatory music arts activities, i.e., music, dance, theatre, reading/writing, and visual arts/crafts and film</w:t>
      </w:r>
      <w:r w:rsidRPr="00097B0B">
        <w:rPr>
          <w:rStyle w:val="FootnoteReference"/>
          <w:rFonts w:ascii="Arial" w:hAnsi="Arial" w:cs="Arial"/>
          <w:sz w:val="22"/>
          <w:szCs w:val="22"/>
          <w:lang w:eastAsia="ja-JP"/>
        </w:rPr>
        <w:footnoteReference w:id="49"/>
      </w:r>
      <w:r w:rsidRPr="00C7142B">
        <w:rPr>
          <w:rFonts w:ascii="Arial" w:hAnsi="Arial" w:cs="Arial"/>
          <w:sz w:val="22"/>
          <w:szCs w:val="22"/>
          <w:lang w:eastAsia="ja-JP"/>
        </w:rPr>
        <w:t>;</w:t>
      </w:r>
    </w:p>
    <w:p w:rsidR="00AE6101" w:rsidRPr="00097B0B" w:rsidRDefault="00AE6101" w:rsidP="00EC53F6">
      <w:pPr>
        <w:ind w:right="-241"/>
        <w:jc w:val="both"/>
        <w:rPr>
          <w:rFonts w:ascii="Arial" w:hAnsi="Arial" w:cs="Arial"/>
          <w:sz w:val="22"/>
          <w:szCs w:val="22"/>
          <w:lang w:eastAsia="ja-JP"/>
        </w:rPr>
      </w:pPr>
    </w:p>
    <w:p w:rsidR="00AE6101" w:rsidRPr="00097B0B" w:rsidRDefault="00A76888" w:rsidP="00EC53F6">
      <w:pPr>
        <w:pStyle w:val="ListParagraph"/>
        <w:numPr>
          <w:ilvl w:val="0"/>
          <w:numId w:val="13"/>
        </w:numPr>
        <w:ind w:left="0" w:right="-241" w:firstLine="0"/>
        <w:jc w:val="both"/>
        <w:rPr>
          <w:rFonts w:ascii="Arial" w:hAnsi="Arial" w:cs="Arial"/>
          <w:sz w:val="22"/>
          <w:szCs w:val="22"/>
          <w:lang w:eastAsia="ja-JP"/>
        </w:rPr>
      </w:pPr>
      <w:r>
        <w:rPr>
          <w:rFonts w:ascii="Arial" w:hAnsi="Arial" w:cs="Arial"/>
          <w:sz w:val="22"/>
          <w:szCs w:val="22"/>
          <w:lang w:eastAsia="ja-JP"/>
        </w:rPr>
        <w:t>Indigenous</w:t>
      </w:r>
      <w:r w:rsidR="00AE6101" w:rsidRPr="00097B0B">
        <w:rPr>
          <w:rFonts w:ascii="Arial" w:hAnsi="Arial" w:cs="Arial"/>
          <w:sz w:val="22"/>
          <w:szCs w:val="22"/>
          <w:lang w:eastAsia="ja-JP"/>
        </w:rPr>
        <w:t xml:space="preserve"> peoples are more actively engaged in visiting galleries and museums</w:t>
      </w:r>
      <w:r w:rsidR="00AE6101" w:rsidRPr="00097B0B">
        <w:rPr>
          <w:rStyle w:val="FootnoteReference"/>
          <w:rFonts w:ascii="Arial" w:hAnsi="Arial" w:cs="Arial"/>
          <w:sz w:val="22"/>
          <w:szCs w:val="22"/>
          <w:lang w:eastAsia="ja-JP"/>
        </w:rPr>
        <w:footnoteReference w:id="50"/>
      </w:r>
      <w:r w:rsidR="00AE6101" w:rsidRPr="00097B0B">
        <w:rPr>
          <w:rFonts w:ascii="Arial" w:hAnsi="Arial" w:cs="Arial"/>
          <w:sz w:val="22"/>
          <w:szCs w:val="22"/>
          <w:lang w:eastAsia="ja-JP"/>
        </w:rPr>
        <w:t>;</w:t>
      </w:r>
    </w:p>
    <w:p w:rsidR="00AE6101" w:rsidRPr="00097B0B" w:rsidRDefault="00AE6101" w:rsidP="00EC53F6">
      <w:pPr>
        <w:ind w:right="-241"/>
        <w:jc w:val="both"/>
        <w:rPr>
          <w:rFonts w:ascii="Arial" w:hAnsi="Arial" w:cs="Arial"/>
          <w:sz w:val="22"/>
          <w:szCs w:val="22"/>
          <w:lang w:eastAsia="ja-JP"/>
        </w:rPr>
      </w:pPr>
    </w:p>
    <w:p w:rsidR="00AE6101" w:rsidRPr="00097B0B" w:rsidRDefault="00AE6101" w:rsidP="00EC53F6">
      <w:pPr>
        <w:pStyle w:val="ListParagraph"/>
        <w:ind w:left="0" w:right="-241"/>
        <w:jc w:val="both"/>
        <w:rPr>
          <w:rFonts w:ascii="Arial" w:hAnsi="Arial" w:cs="Arial"/>
          <w:sz w:val="22"/>
          <w:szCs w:val="22"/>
          <w:lang w:eastAsia="ja-JP"/>
        </w:rPr>
      </w:pPr>
      <w:r w:rsidRPr="00097B0B">
        <w:rPr>
          <w:rFonts w:ascii="Arial" w:hAnsi="Arial" w:cs="Arial"/>
          <w:sz w:val="22"/>
          <w:szCs w:val="22"/>
          <w:lang w:eastAsia="ja-JP"/>
        </w:rPr>
        <w:t xml:space="preserve">racialized and </w:t>
      </w:r>
      <w:r w:rsidR="00A76888">
        <w:rPr>
          <w:rFonts w:ascii="Arial" w:hAnsi="Arial" w:cs="Arial"/>
          <w:sz w:val="22"/>
          <w:szCs w:val="22"/>
          <w:lang w:eastAsia="ja-JP"/>
        </w:rPr>
        <w:t>Indigenous</w:t>
      </w:r>
      <w:r w:rsidRPr="00097B0B">
        <w:rPr>
          <w:rFonts w:ascii="Arial" w:hAnsi="Arial" w:cs="Arial"/>
          <w:sz w:val="22"/>
          <w:szCs w:val="22"/>
          <w:lang w:eastAsia="ja-JP"/>
        </w:rPr>
        <w:t xml:space="preserve"> communities reported higher engagement in community arts events</w:t>
      </w:r>
      <w:r w:rsidRPr="00097B0B">
        <w:rPr>
          <w:rStyle w:val="FootnoteReference"/>
          <w:rFonts w:ascii="Arial" w:hAnsi="Arial" w:cs="Arial"/>
          <w:sz w:val="22"/>
          <w:szCs w:val="22"/>
          <w:lang w:eastAsia="ja-JP"/>
        </w:rPr>
        <w:footnoteReference w:id="51"/>
      </w:r>
      <w:r w:rsidRPr="00097B0B">
        <w:rPr>
          <w:rFonts w:ascii="Arial" w:hAnsi="Arial" w:cs="Arial"/>
          <w:sz w:val="22"/>
          <w:szCs w:val="22"/>
          <w:lang w:eastAsia="ja-JP"/>
        </w:rPr>
        <w:t>;</w:t>
      </w:r>
    </w:p>
    <w:p w:rsidR="00AE6101" w:rsidRPr="00097B0B" w:rsidRDefault="00AE6101" w:rsidP="00EC53F6">
      <w:pPr>
        <w:ind w:right="-241"/>
        <w:jc w:val="both"/>
        <w:rPr>
          <w:rFonts w:ascii="Arial" w:hAnsi="Arial" w:cs="Arial"/>
          <w:sz w:val="22"/>
          <w:szCs w:val="22"/>
          <w:lang w:eastAsia="ja-JP"/>
        </w:rPr>
      </w:pPr>
    </w:p>
    <w:p w:rsidR="00AE6101" w:rsidRPr="00097B0B" w:rsidRDefault="00AE6101" w:rsidP="00EC53F6">
      <w:pPr>
        <w:pStyle w:val="ListParagraph"/>
        <w:numPr>
          <w:ilvl w:val="0"/>
          <w:numId w:val="13"/>
        </w:numPr>
        <w:ind w:left="0" w:right="-241" w:firstLine="0"/>
        <w:jc w:val="both"/>
        <w:rPr>
          <w:rFonts w:ascii="Arial" w:hAnsi="Arial" w:cs="Arial"/>
          <w:sz w:val="22"/>
          <w:szCs w:val="22"/>
          <w:lang w:eastAsia="ja-JP"/>
        </w:rPr>
      </w:pPr>
      <w:r w:rsidRPr="00097B0B">
        <w:rPr>
          <w:rFonts w:ascii="Arial" w:hAnsi="Arial" w:cs="Arial"/>
          <w:sz w:val="22"/>
          <w:szCs w:val="22"/>
          <w:lang w:eastAsia="ja-JP"/>
        </w:rPr>
        <w:t>racialized groups are more engaged in media-based arts activities</w:t>
      </w:r>
      <w:r w:rsidRPr="00097B0B">
        <w:rPr>
          <w:rStyle w:val="FootnoteReference"/>
          <w:rFonts w:ascii="Arial" w:hAnsi="Arial" w:cs="Arial"/>
          <w:sz w:val="22"/>
          <w:szCs w:val="22"/>
          <w:lang w:eastAsia="ja-JP"/>
        </w:rPr>
        <w:footnoteReference w:id="52"/>
      </w:r>
      <w:r w:rsidRPr="00097B0B">
        <w:rPr>
          <w:rFonts w:ascii="Arial" w:hAnsi="Arial" w:cs="Arial"/>
          <w:sz w:val="22"/>
          <w:szCs w:val="22"/>
          <w:lang w:eastAsia="ja-JP"/>
        </w:rPr>
        <w:t>;</w:t>
      </w:r>
    </w:p>
    <w:p w:rsidR="00AE6101" w:rsidRPr="00097B0B" w:rsidRDefault="00AE6101" w:rsidP="00EC53F6">
      <w:pPr>
        <w:ind w:right="-241"/>
        <w:jc w:val="both"/>
        <w:rPr>
          <w:rFonts w:ascii="Arial" w:hAnsi="Arial" w:cs="Arial"/>
          <w:sz w:val="22"/>
          <w:szCs w:val="22"/>
          <w:lang w:eastAsia="ja-JP"/>
        </w:rPr>
      </w:pPr>
    </w:p>
    <w:p w:rsidR="00AE6101" w:rsidRPr="00097B0B" w:rsidRDefault="00A76888" w:rsidP="00EC53F6">
      <w:pPr>
        <w:pStyle w:val="ListParagraph"/>
        <w:numPr>
          <w:ilvl w:val="0"/>
          <w:numId w:val="13"/>
        </w:numPr>
        <w:ind w:left="0" w:right="-241" w:firstLine="0"/>
        <w:jc w:val="both"/>
        <w:rPr>
          <w:rFonts w:ascii="Arial" w:hAnsi="Arial" w:cs="Arial"/>
          <w:sz w:val="22"/>
          <w:szCs w:val="22"/>
          <w:lang w:eastAsia="ja-JP"/>
        </w:rPr>
      </w:pPr>
      <w:r>
        <w:rPr>
          <w:rFonts w:ascii="Arial" w:hAnsi="Arial" w:cs="Arial"/>
          <w:sz w:val="22"/>
          <w:szCs w:val="22"/>
          <w:lang w:eastAsia="ja-JP"/>
        </w:rPr>
        <w:t>Indigenous</w:t>
      </w:r>
      <w:r w:rsidR="00AE6101" w:rsidRPr="00097B0B">
        <w:rPr>
          <w:rFonts w:ascii="Arial" w:hAnsi="Arial" w:cs="Arial"/>
          <w:sz w:val="22"/>
          <w:szCs w:val="22"/>
          <w:lang w:eastAsia="ja-JP"/>
        </w:rPr>
        <w:t xml:space="preserve"> and racialized groups are more engaged in inventive activities (i.e., activities that “engages the mind, body and spirit in the act of artistic creation that is unique…”)</w:t>
      </w:r>
      <w:r w:rsidR="00AE6101" w:rsidRPr="00097B0B">
        <w:rPr>
          <w:rStyle w:val="FootnoteReference"/>
          <w:rFonts w:ascii="Arial" w:hAnsi="Arial" w:cs="Arial"/>
          <w:sz w:val="22"/>
          <w:szCs w:val="22"/>
          <w:lang w:eastAsia="ja-JP"/>
        </w:rPr>
        <w:footnoteReference w:id="53"/>
      </w:r>
      <w:r w:rsidR="00AE6101" w:rsidRPr="00097B0B">
        <w:rPr>
          <w:rFonts w:ascii="Arial" w:hAnsi="Arial" w:cs="Arial"/>
          <w:sz w:val="22"/>
          <w:szCs w:val="22"/>
          <w:lang w:eastAsia="ja-JP"/>
        </w:rPr>
        <w:t>;</w:t>
      </w:r>
    </w:p>
    <w:p w:rsidR="00AE6101" w:rsidRPr="00097B0B" w:rsidRDefault="00AE6101" w:rsidP="00EC53F6">
      <w:pPr>
        <w:ind w:right="-241"/>
        <w:jc w:val="both"/>
        <w:rPr>
          <w:rFonts w:ascii="Arial" w:hAnsi="Arial" w:cs="Arial"/>
          <w:sz w:val="22"/>
          <w:szCs w:val="22"/>
          <w:lang w:eastAsia="ja-JP"/>
        </w:rPr>
      </w:pPr>
    </w:p>
    <w:p w:rsidR="00AE6101" w:rsidRPr="00097B0B" w:rsidRDefault="00AE6101" w:rsidP="00EC53F6">
      <w:pPr>
        <w:pStyle w:val="ListParagraph"/>
        <w:numPr>
          <w:ilvl w:val="0"/>
          <w:numId w:val="13"/>
        </w:numPr>
        <w:ind w:left="0" w:right="-241" w:firstLine="0"/>
        <w:jc w:val="both"/>
        <w:rPr>
          <w:rFonts w:ascii="Arial" w:hAnsi="Arial" w:cs="Arial"/>
          <w:sz w:val="22"/>
          <w:szCs w:val="22"/>
          <w:lang w:eastAsia="ja-JP"/>
        </w:rPr>
      </w:pPr>
      <w:r w:rsidRPr="00097B0B">
        <w:rPr>
          <w:rFonts w:ascii="Arial" w:hAnsi="Arial" w:cs="Arial"/>
          <w:sz w:val="22"/>
          <w:szCs w:val="22"/>
          <w:lang w:eastAsia="ja-JP"/>
        </w:rPr>
        <w:t>racialized communities are more engaged in p</w:t>
      </w:r>
      <w:r>
        <w:rPr>
          <w:rFonts w:ascii="Arial" w:hAnsi="Arial" w:cs="Arial"/>
          <w:sz w:val="22"/>
          <w:szCs w:val="22"/>
          <w:lang w:eastAsia="ja-JP"/>
        </w:rPr>
        <w:t>ersonal practice activities than</w:t>
      </w:r>
      <w:r w:rsidRPr="00097B0B">
        <w:rPr>
          <w:rFonts w:ascii="Arial" w:hAnsi="Arial" w:cs="Arial"/>
          <w:sz w:val="22"/>
          <w:szCs w:val="22"/>
          <w:lang w:eastAsia="ja-JP"/>
        </w:rPr>
        <w:t xml:space="preserve"> whites (a 15 point difference) and audience-based activities are also higher for these communities</w:t>
      </w:r>
      <w:r w:rsidRPr="00097B0B">
        <w:rPr>
          <w:rStyle w:val="FootnoteReference"/>
          <w:rFonts w:ascii="Arial" w:hAnsi="Arial" w:cs="Arial"/>
          <w:sz w:val="22"/>
          <w:szCs w:val="22"/>
          <w:lang w:eastAsia="ja-JP"/>
        </w:rPr>
        <w:footnoteReference w:id="54"/>
      </w:r>
      <w:r w:rsidRPr="00097B0B">
        <w:rPr>
          <w:rFonts w:ascii="Arial" w:hAnsi="Arial" w:cs="Arial"/>
          <w:sz w:val="22"/>
          <w:szCs w:val="22"/>
          <w:lang w:eastAsia="ja-JP"/>
        </w:rPr>
        <w:t>; and</w:t>
      </w:r>
    </w:p>
    <w:p w:rsidR="00AE6101" w:rsidRPr="00097B0B" w:rsidRDefault="00AE6101" w:rsidP="00EC53F6">
      <w:pPr>
        <w:ind w:right="-241"/>
        <w:jc w:val="both"/>
        <w:rPr>
          <w:rFonts w:ascii="Arial" w:hAnsi="Arial" w:cs="Arial"/>
          <w:sz w:val="22"/>
          <w:szCs w:val="22"/>
          <w:lang w:eastAsia="ja-JP"/>
        </w:rPr>
      </w:pPr>
    </w:p>
    <w:p w:rsidR="00AE6101" w:rsidRPr="00097B0B" w:rsidRDefault="00AE6101" w:rsidP="00EC53F6">
      <w:pPr>
        <w:pStyle w:val="ListParagraph"/>
        <w:numPr>
          <w:ilvl w:val="0"/>
          <w:numId w:val="13"/>
        </w:numPr>
        <w:ind w:left="0" w:right="-241" w:firstLine="0"/>
        <w:jc w:val="both"/>
        <w:rPr>
          <w:rFonts w:ascii="Arial" w:hAnsi="Arial" w:cs="Arial"/>
          <w:sz w:val="22"/>
          <w:szCs w:val="22"/>
          <w:lang w:eastAsia="ja-JP"/>
        </w:rPr>
      </w:pPr>
      <w:r w:rsidRPr="00097B0B">
        <w:rPr>
          <w:rFonts w:ascii="Arial" w:hAnsi="Arial" w:cs="Arial"/>
          <w:sz w:val="22"/>
          <w:szCs w:val="22"/>
          <w:lang w:eastAsia="ja-JP"/>
        </w:rPr>
        <w:t xml:space="preserve">racialized and </w:t>
      </w:r>
      <w:r w:rsidR="00A76888">
        <w:rPr>
          <w:rFonts w:ascii="Arial" w:hAnsi="Arial" w:cs="Arial"/>
          <w:sz w:val="22"/>
          <w:szCs w:val="22"/>
          <w:lang w:eastAsia="ja-JP"/>
        </w:rPr>
        <w:t>Indigenous</w:t>
      </w:r>
      <w:r w:rsidRPr="00097B0B">
        <w:rPr>
          <w:rFonts w:ascii="Arial" w:hAnsi="Arial" w:cs="Arial"/>
          <w:sz w:val="22"/>
          <w:szCs w:val="22"/>
          <w:lang w:eastAsia="ja-JP"/>
        </w:rPr>
        <w:t xml:space="preserve"> communities, particularly persons of African descent, demonstrate a higher interest in their own cultural heritage’</w:t>
      </w:r>
      <w:r w:rsidRPr="00097B0B">
        <w:rPr>
          <w:rStyle w:val="FootnoteReference"/>
          <w:rFonts w:ascii="Arial" w:hAnsi="Arial" w:cs="Arial"/>
          <w:sz w:val="22"/>
          <w:szCs w:val="22"/>
          <w:lang w:eastAsia="ja-JP"/>
        </w:rPr>
        <w:footnoteReference w:id="55"/>
      </w:r>
      <w:r w:rsidRPr="00097B0B">
        <w:rPr>
          <w:rFonts w:ascii="Arial" w:hAnsi="Arial" w:cs="Arial"/>
          <w:sz w:val="22"/>
          <w:szCs w:val="22"/>
          <w:lang w:eastAsia="ja-JP"/>
        </w:rPr>
        <w:t>.</w:t>
      </w:r>
    </w:p>
    <w:p w:rsidR="00AE6101" w:rsidRPr="00097B0B" w:rsidRDefault="00AE6101" w:rsidP="00EC53F6">
      <w:pPr>
        <w:ind w:right="-241"/>
        <w:jc w:val="both"/>
        <w:rPr>
          <w:rFonts w:ascii="Arial" w:hAnsi="Arial" w:cs="Arial"/>
          <w:sz w:val="22"/>
          <w:szCs w:val="22"/>
          <w:lang w:eastAsia="ja-JP"/>
        </w:rPr>
      </w:pPr>
    </w:p>
    <w:p w:rsidR="00AE6101" w:rsidRPr="00097B0B" w:rsidRDefault="00AE6101" w:rsidP="00EC53F6">
      <w:pPr>
        <w:ind w:right="-241"/>
        <w:jc w:val="both"/>
        <w:rPr>
          <w:rFonts w:ascii="Arial" w:hAnsi="Arial" w:cs="Arial"/>
          <w:sz w:val="22"/>
          <w:szCs w:val="22"/>
          <w:lang w:eastAsia="ja-JP"/>
        </w:rPr>
      </w:pPr>
      <w:r w:rsidRPr="00097B0B">
        <w:rPr>
          <w:rFonts w:ascii="Arial" w:hAnsi="Arial" w:cs="Arial"/>
          <w:sz w:val="22"/>
          <w:szCs w:val="22"/>
          <w:lang w:eastAsia="ja-JP"/>
        </w:rPr>
        <w:t>Based on this evidence, WolfBrown asserts:</w:t>
      </w:r>
    </w:p>
    <w:p w:rsidR="00AE6101" w:rsidRPr="00097B0B" w:rsidRDefault="00AE6101" w:rsidP="00EC53F6">
      <w:pPr>
        <w:ind w:right="-241"/>
        <w:jc w:val="both"/>
        <w:rPr>
          <w:rFonts w:ascii="Arial" w:hAnsi="Arial" w:cs="Arial"/>
          <w:sz w:val="22"/>
          <w:szCs w:val="22"/>
          <w:lang w:eastAsia="ja-JP"/>
        </w:rPr>
      </w:pPr>
    </w:p>
    <w:p w:rsidR="00AE6101" w:rsidRPr="00097B0B" w:rsidRDefault="00AE6101" w:rsidP="00EC53F6">
      <w:pPr>
        <w:ind w:right="-241"/>
        <w:jc w:val="both"/>
        <w:rPr>
          <w:rFonts w:ascii="Arial" w:hAnsi="Arial" w:cs="Arial"/>
          <w:sz w:val="22"/>
          <w:szCs w:val="22"/>
          <w:lang w:eastAsia="ja-JP"/>
        </w:rPr>
      </w:pPr>
      <w:r w:rsidRPr="00097B0B">
        <w:rPr>
          <w:rFonts w:ascii="Arial" w:hAnsi="Arial" w:cs="Arial"/>
          <w:sz w:val="22"/>
          <w:szCs w:val="22"/>
          <w:lang w:eastAsia="ja-JP"/>
        </w:rPr>
        <w:t>…arts engagement is generally higher for Ontarians of colour, and highest for Black populations.  This is driven primarily by higher engagement in arts learning activities and community-based events.  (Visible minorities, as a group, have an arts learning index of 25 compared to 13 for whites (12 point difference)…</w:t>
      </w:r>
    </w:p>
    <w:p w:rsidR="00AE6101" w:rsidRPr="00097B0B" w:rsidRDefault="00AE6101" w:rsidP="00EC53F6">
      <w:pPr>
        <w:ind w:right="-241"/>
        <w:jc w:val="both"/>
        <w:rPr>
          <w:rFonts w:ascii="Arial" w:hAnsi="Arial" w:cs="Arial"/>
          <w:sz w:val="22"/>
          <w:szCs w:val="22"/>
          <w:lang w:eastAsia="ja-JP"/>
        </w:rPr>
      </w:pPr>
    </w:p>
    <w:p w:rsidR="00AE6101" w:rsidRPr="00097B0B" w:rsidRDefault="00AE6101" w:rsidP="00EC53F6">
      <w:pPr>
        <w:ind w:right="-241"/>
        <w:jc w:val="both"/>
        <w:rPr>
          <w:rFonts w:ascii="Arial" w:hAnsi="Arial" w:cs="Arial"/>
          <w:sz w:val="22"/>
          <w:szCs w:val="22"/>
          <w:lang w:eastAsia="ja-JP"/>
        </w:rPr>
      </w:pPr>
      <w:r w:rsidRPr="00097B0B">
        <w:rPr>
          <w:rFonts w:ascii="Arial" w:hAnsi="Arial" w:cs="Arial"/>
          <w:sz w:val="22"/>
          <w:szCs w:val="22"/>
          <w:lang w:eastAsia="ja-JP"/>
        </w:rPr>
        <w:t>Patterns of engagement by race are partly driven by age as respondents of colour are, on average, seven years younger than white respondents (41 vs. 48 years old)</w:t>
      </w:r>
      <w:r w:rsidRPr="00097B0B">
        <w:rPr>
          <w:rStyle w:val="FootnoteReference"/>
          <w:rFonts w:ascii="Arial" w:hAnsi="Arial" w:cs="Arial"/>
          <w:sz w:val="22"/>
          <w:szCs w:val="22"/>
          <w:lang w:eastAsia="ja-JP"/>
        </w:rPr>
        <w:footnoteReference w:id="56"/>
      </w:r>
      <w:r w:rsidRPr="00097B0B">
        <w:rPr>
          <w:rFonts w:ascii="Arial" w:hAnsi="Arial" w:cs="Arial"/>
          <w:sz w:val="22"/>
          <w:szCs w:val="22"/>
          <w:lang w:eastAsia="ja-JP"/>
        </w:rPr>
        <w:t>.</w:t>
      </w:r>
    </w:p>
    <w:p w:rsidR="00AE6101" w:rsidRPr="00097B0B" w:rsidRDefault="00AE6101" w:rsidP="00EC53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41"/>
        <w:jc w:val="both"/>
        <w:rPr>
          <w:rFonts w:ascii="Arial" w:hAnsi="Arial" w:cs="Arial"/>
          <w:b/>
          <w:sz w:val="22"/>
          <w:szCs w:val="22"/>
          <w:lang w:val="en-CA" w:eastAsia="ja-JP"/>
        </w:rPr>
      </w:pPr>
    </w:p>
    <w:p w:rsidR="00AE6101" w:rsidRPr="00097B0B" w:rsidRDefault="00AE6101" w:rsidP="00EC53F6">
      <w:pPr>
        <w:rPr>
          <w:rFonts w:ascii="Arial" w:hAnsi="Arial" w:cs="Arial"/>
          <w:sz w:val="22"/>
          <w:szCs w:val="22"/>
        </w:rPr>
      </w:pPr>
      <w:r w:rsidRPr="00097B0B">
        <w:rPr>
          <w:rFonts w:ascii="Arial" w:hAnsi="Arial" w:cs="Arial"/>
          <w:sz w:val="22"/>
          <w:szCs w:val="22"/>
        </w:rPr>
        <w:t>Further, WolfBrown suggests that there are four key “Implications for Arts Providers, Funders and Policymakers” based on the evidence from the research.  These are:</w:t>
      </w:r>
    </w:p>
    <w:p w:rsidR="00AE6101" w:rsidRPr="00097B0B" w:rsidRDefault="00AE6101" w:rsidP="00AE6101">
      <w:pPr>
        <w:ind w:right="-241"/>
        <w:jc w:val="both"/>
        <w:rPr>
          <w:rFonts w:ascii="Arial" w:hAnsi="Arial" w:cs="Arial"/>
          <w:sz w:val="22"/>
          <w:szCs w:val="22"/>
          <w:lang w:eastAsia="ja-JP"/>
        </w:rPr>
      </w:pPr>
    </w:p>
    <w:p w:rsidR="00AE6101" w:rsidRPr="00097B0B" w:rsidRDefault="00AE6101" w:rsidP="00AE6101">
      <w:pPr>
        <w:pStyle w:val="ListParagraph"/>
        <w:numPr>
          <w:ilvl w:val="0"/>
          <w:numId w:val="14"/>
        </w:numPr>
        <w:tabs>
          <w:tab w:val="left" w:pos="2340"/>
          <w:tab w:val="left" w:pos="2520"/>
        </w:tabs>
        <w:ind w:right="-241"/>
        <w:jc w:val="both"/>
        <w:outlineLvl w:val="0"/>
        <w:rPr>
          <w:rFonts w:ascii="Arial" w:hAnsi="Arial" w:cs="Arial"/>
          <w:sz w:val="22"/>
          <w:szCs w:val="22"/>
        </w:rPr>
      </w:pPr>
      <w:r w:rsidRPr="00097B0B">
        <w:rPr>
          <w:rFonts w:ascii="Arial" w:hAnsi="Arial" w:cs="Arial"/>
          <w:sz w:val="22"/>
          <w:szCs w:val="22"/>
        </w:rPr>
        <w:t>“The question of ‘where’ arts participation happens, and how much emphasis should be given to informal vs. formal settings is an essential conversation for arts organizations when considering programming and audience development.  (So) (h)ow can arts groups reach people in their homes and in community-based settings?  What can policy makers and funders do to address this issue?</w:t>
      </w:r>
    </w:p>
    <w:p w:rsidR="00AE6101" w:rsidRPr="00097B0B" w:rsidRDefault="00AE6101" w:rsidP="00AE6101">
      <w:pPr>
        <w:pStyle w:val="ListParagraph"/>
        <w:tabs>
          <w:tab w:val="left" w:pos="2340"/>
          <w:tab w:val="left" w:pos="2520"/>
        </w:tabs>
        <w:ind w:left="1080" w:right="-241"/>
        <w:jc w:val="both"/>
        <w:outlineLvl w:val="0"/>
        <w:rPr>
          <w:rFonts w:ascii="Arial" w:hAnsi="Arial" w:cs="Arial"/>
          <w:sz w:val="22"/>
          <w:szCs w:val="22"/>
        </w:rPr>
      </w:pPr>
    </w:p>
    <w:p w:rsidR="00AE6101" w:rsidRPr="00097B0B" w:rsidRDefault="00AE6101" w:rsidP="00AE6101">
      <w:pPr>
        <w:pStyle w:val="ListParagraph"/>
        <w:numPr>
          <w:ilvl w:val="0"/>
          <w:numId w:val="14"/>
        </w:numPr>
        <w:tabs>
          <w:tab w:val="left" w:pos="2340"/>
          <w:tab w:val="left" w:pos="2520"/>
        </w:tabs>
        <w:ind w:right="-241"/>
        <w:jc w:val="both"/>
        <w:outlineLvl w:val="0"/>
        <w:rPr>
          <w:rFonts w:ascii="Arial" w:hAnsi="Arial" w:cs="Arial"/>
          <w:sz w:val="22"/>
          <w:szCs w:val="22"/>
        </w:rPr>
      </w:pPr>
      <w:r w:rsidRPr="00097B0B">
        <w:rPr>
          <w:rFonts w:ascii="Arial" w:hAnsi="Arial" w:cs="Arial"/>
          <w:sz w:val="22"/>
          <w:szCs w:val="22"/>
        </w:rPr>
        <w:t xml:space="preserve">“Thinking about engaging diverse audiences means thinking broadly about arts activities in general.  Conceiving programs that harness interest in participatory activities, like dancing, playing music, acting and storytelling, could help build relationships with certain populations, such as </w:t>
      </w:r>
      <w:r w:rsidR="00A76888">
        <w:rPr>
          <w:rFonts w:ascii="Arial" w:hAnsi="Arial" w:cs="Arial"/>
          <w:sz w:val="22"/>
          <w:szCs w:val="22"/>
        </w:rPr>
        <w:t>Indigenous</w:t>
      </w:r>
      <w:r w:rsidRPr="00097B0B">
        <w:rPr>
          <w:rFonts w:ascii="Arial" w:hAnsi="Arial" w:cs="Arial"/>
          <w:sz w:val="22"/>
          <w:szCs w:val="22"/>
        </w:rPr>
        <w:t xml:space="preserve"> people.</w:t>
      </w:r>
    </w:p>
    <w:p w:rsidR="00AE6101" w:rsidRPr="00097B0B" w:rsidRDefault="00AE6101" w:rsidP="00AE6101">
      <w:pPr>
        <w:pStyle w:val="ListParagraph"/>
        <w:tabs>
          <w:tab w:val="left" w:pos="2340"/>
          <w:tab w:val="left" w:pos="2520"/>
        </w:tabs>
        <w:ind w:left="1080" w:right="-241"/>
        <w:jc w:val="both"/>
        <w:outlineLvl w:val="0"/>
        <w:rPr>
          <w:rFonts w:ascii="Arial" w:hAnsi="Arial" w:cs="Arial"/>
          <w:sz w:val="22"/>
          <w:szCs w:val="22"/>
        </w:rPr>
      </w:pPr>
    </w:p>
    <w:p w:rsidR="00AE6101" w:rsidRPr="00097B0B" w:rsidRDefault="00AE6101" w:rsidP="00AE6101">
      <w:pPr>
        <w:pStyle w:val="ListParagraph"/>
        <w:numPr>
          <w:ilvl w:val="0"/>
          <w:numId w:val="14"/>
        </w:numPr>
        <w:tabs>
          <w:tab w:val="left" w:pos="2340"/>
          <w:tab w:val="left" w:pos="2520"/>
        </w:tabs>
        <w:ind w:right="-241"/>
        <w:jc w:val="both"/>
        <w:outlineLvl w:val="0"/>
        <w:rPr>
          <w:rFonts w:ascii="Arial" w:hAnsi="Arial" w:cs="Arial"/>
          <w:sz w:val="22"/>
          <w:szCs w:val="22"/>
        </w:rPr>
      </w:pPr>
      <w:r w:rsidRPr="00097B0B">
        <w:rPr>
          <w:rFonts w:ascii="Arial" w:hAnsi="Arial" w:cs="Arial"/>
          <w:sz w:val="22"/>
          <w:szCs w:val="22"/>
        </w:rPr>
        <w:t>“Findings point to the key role that the arts can play in social bridging and bonding, which are both critical to a healthy arts ecology.  Solidifying this message could help to connect the arts to larger community issues, such as the need for tolerance and dialogue amongst diverse communities.”</w:t>
      </w:r>
    </w:p>
    <w:p w:rsidR="00AE6101" w:rsidRPr="00097B0B" w:rsidRDefault="00AE6101" w:rsidP="00AE6101">
      <w:pPr>
        <w:tabs>
          <w:tab w:val="left" w:pos="2340"/>
          <w:tab w:val="left" w:pos="2520"/>
        </w:tabs>
        <w:ind w:right="-241"/>
        <w:jc w:val="both"/>
        <w:outlineLvl w:val="0"/>
        <w:rPr>
          <w:rFonts w:ascii="Arial" w:hAnsi="Arial" w:cs="Arial"/>
          <w:sz w:val="22"/>
          <w:szCs w:val="22"/>
        </w:rPr>
      </w:pPr>
    </w:p>
    <w:p w:rsidR="00EC53F6" w:rsidRPr="00641A67" w:rsidRDefault="00AE6101" w:rsidP="009D6EC4">
      <w:pPr>
        <w:pStyle w:val="ListParagraph"/>
        <w:numPr>
          <w:ilvl w:val="0"/>
          <w:numId w:val="14"/>
        </w:numPr>
        <w:tabs>
          <w:tab w:val="left" w:pos="2340"/>
          <w:tab w:val="left" w:pos="2520"/>
        </w:tabs>
        <w:ind w:right="-241"/>
        <w:jc w:val="both"/>
        <w:outlineLvl w:val="0"/>
        <w:rPr>
          <w:rFonts w:ascii="Arial" w:hAnsi="Arial" w:cs="Arial"/>
          <w:sz w:val="22"/>
          <w:szCs w:val="22"/>
        </w:rPr>
      </w:pPr>
      <w:r w:rsidRPr="00097B0B">
        <w:rPr>
          <w:rFonts w:ascii="Arial" w:hAnsi="Arial" w:cs="Arial"/>
          <w:sz w:val="22"/>
          <w:szCs w:val="22"/>
        </w:rPr>
        <w:t>“…this study’s findings serve to underscore the interconnections between various types of activities and disciplines – attendance, media and arts creation.  Increasing engagement will require innovative approaches and collaborations across disciplines and delivery channels …”</w:t>
      </w:r>
      <w:r w:rsidRPr="00097B0B">
        <w:rPr>
          <w:rStyle w:val="FootnoteReference"/>
          <w:rFonts w:ascii="Arial" w:hAnsi="Arial" w:cs="Arial"/>
          <w:sz w:val="22"/>
          <w:szCs w:val="22"/>
        </w:rPr>
        <w:footnoteReference w:id="57"/>
      </w:r>
    </w:p>
    <w:p w:rsidR="00EC53F6" w:rsidRDefault="00EC53F6" w:rsidP="009D6EC4">
      <w:pPr>
        <w:jc w:val="both"/>
        <w:rPr>
          <w:rFonts w:ascii="Arial" w:hAnsi="Arial" w:cs="Arial"/>
          <w:b/>
          <w:sz w:val="22"/>
          <w:szCs w:val="22"/>
          <w:lang w:eastAsia="ja-JP"/>
        </w:rPr>
      </w:pPr>
    </w:p>
    <w:p w:rsidR="00AE6101" w:rsidRPr="00A76888" w:rsidRDefault="00A76888" w:rsidP="009D6EC4">
      <w:pPr>
        <w:jc w:val="both"/>
        <w:rPr>
          <w:rFonts w:ascii="Arial" w:hAnsi="Arial" w:cs="Arial"/>
          <w:b/>
          <w:sz w:val="22"/>
          <w:szCs w:val="22"/>
          <w:lang w:eastAsia="ja-JP"/>
        </w:rPr>
      </w:pPr>
      <w:r>
        <w:rPr>
          <w:rFonts w:ascii="Arial" w:hAnsi="Arial" w:cs="Arial"/>
          <w:b/>
          <w:sz w:val="22"/>
          <w:szCs w:val="22"/>
          <w:lang w:eastAsia="ja-JP"/>
        </w:rPr>
        <w:t>4.</w:t>
      </w:r>
      <w:r>
        <w:rPr>
          <w:rFonts w:ascii="Arial" w:hAnsi="Arial" w:cs="Arial"/>
          <w:b/>
          <w:sz w:val="22"/>
          <w:szCs w:val="22"/>
          <w:lang w:eastAsia="ja-JP"/>
        </w:rPr>
        <w:tab/>
        <w:t>Strategies for Moving Forward:</w:t>
      </w:r>
    </w:p>
    <w:p w:rsidR="00AE6101" w:rsidRDefault="00AE6101" w:rsidP="009D6EC4">
      <w:pPr>
        <w:jc w:val="both"/>
        <w:rPr>
          <w:rFonts w:ascii="Arial" w:hAnsi="Arial" w:cs="Arial"/>
          <w:sz w:val="22"/>
          <w:szCs w:val="22"/>
          <w:lang w:eastAsia="ja-JP"/>
        </w:rPr>
      </w:pPr>
    </w:p>
    <w:p w:rsidR="00700278" w:rsidRDefault="00700278" w:rsidP="009D6EC4">
      <w:pPr>
        <w:jc w:val="both"/>
        <w:rPr>
          <w:rFonts w:ascii="Arial" w:hAnsi="Arial" w:cs="Arial"/>
          <w:sz w:val="22"/>
          <w:szCs w:val="22"/>
          <w:lang w:eastAsia="ja-JP"/>
        </w:rPr>
      </w:pPr>
      <w:r>
        <w:rPr>
          <w:rFonts w:ascii="Arial" w:hAnsi="Arial" w:cs="Arial"/>
          <w:sz w:val="22"/>
          <w:szCs w:val="22"/>
          <w:lang w:eastAsia="ja-JP"/>
        </w:rPr>
        <w:t xml:space="preserve">All of the above provides ample evidence for both the desire and need for change, immediate, substantial, long-term and engaging.  It calls for a valuation of diverse values and their systems, modes of expression in the arts and within </w:t>
      </w:r>
      <w:r w:rsidR="005F3FDA">
        <w:rPr>
          <w:rFonts w:ascii="Arial" w:hAnsi="Arial" w:cs="Arial"/>
          <w:sz w:val="22"/>
          <w:szCs w:val="22"/>
          <w:lang w:eastAsia="ja-JP"/>
        </w:rPr>
        <w:t xml:space="preserve">diverse </w:t>
      </w:r>
      <w:r>
        <w:rPr>
          <w:rFonts w:ascii="Arial" w:hAnsi="Arial" w:cs="Arial"/>
          <w:sz w:val="22"/>
          <w:szCs w:val="22"/>
          <w:lang w:eastAsia="ja-JP"/>
        </w:rPr>
        <w:t>communities</w:t>
      </w:r>
      <w:r w:rsidR="005F3FDA">
        <w:rPr>
          <w:rFonts w:ascii="Arial" w:hAnsi="Arial" w:cs="Arial"/>
          <w:sz w:val="22"/>
          <w:szCs w:val="22"/>
          <w:lang w:eastAsia="ja-JP"/>
        </w:rPr>
        <w:t>.</w:t>
      </w:r>
      <w:r w:rsidR="00EC53F6">
        <w:rPr>
          <w:rFonts w:ascii="Arial" w:hAnsi="Arial" w:cs="Arial"/>
          <w:sz w:val="22"/>
          <w:szCs w:val="22"/>
          <w:lang w:eastAsia="ja-JP"/>
        </w:rPr>
        <w:t xml:space="preserve">  It calls for immediate attention to the desires and interest in arts and culture of Indigenous, racialized and other diverse communities and the need to address this now.  It calls for increased public awareness of the importance of these changes and programs to support those in the arts who are interested in learning more about them and wish to engage in personal, professional and organizational development.</w:t>
      </w:r>
    </w:p>
    <w:p w:rsidR="005F3FDA" w:rsidRDefault="005F3FDA" w:rsidP="009D6EC4">
      <w:pPr>
        <w:jc w:val="both"/>
        <w:rPr>
          <w:rFonts w:ascii="Arial" w:hAnsi="Arial" w:cs="Arial"/>
          <w:sz w:val="22"/>
          <w:szCs w:val="22"/>
          <w:lang w:eastAsia="ja-JP"/>
        </w:rPr>
      </w:pPr>
    </w:p>
    <w:p w:rsidR="005F3FDA" w:rsidRDefault="005F3FDA" w:rsidP="009D6EC4">
      <w:pPr>
        <w:jc w:val="both"/>
        <w:rPr>
          <w:rFonts w:ascii="Arial" w:hAnsi="Arial" w:cs="Arial"/>
          <w:sz w:val="22"/>
          <w:szCs w:val="22"/>
          <w:lang w:eastAsia="ja-JP"/>
        </w:rPr>
      </w:pPr>
      <w:r>
        <w:rPr>
          <w:rFonts w:ascii="Arial" w:hAnsi="Arial" w:cs="Arial"/>
          <w:sz w:val="22"/>
          <w:szCs w:val="22"/>
          <w:lang w:eastAsia="ja-JP"/>
        </w:rPr>
        <w:t xml:space="preserve">This </w:t>
      </w:r>
      <w:r w:rsidR="00EC53F6">
        <w:rPr>
          <w:rFonts w:ascii="Arial" w:hAnsi="Arial" w:cs="Arial"/>
          <w:sz w:val="22"/>
          <w:szCs w:val="22"/>
          <w:lang w:eastAsia="ja-JP"/>
        </w:rPr>
        <w:t xml:space="preserve">is </w:t>
      </w:r>
      <w:r>
        <w:rPr>
          <w:rFonts w:ascii="Arial" w:hAnsi="Arial" w:cs="Arial"/>
          <w:sz w:val="22"/>
          <w:szCs w:val="22"/>
          <w:lang w:eastAsia="ja-JP"/>
        </w:rPr>
        <w:t>something CPAMO has been engaged in since its inception in 2010.  Through its Town Hall, workshops, forums, research, showcases and social media, CPAMO has acted as a catalyst to engage the arts communities in this conversation.  The evidence is there and is ample, it’s now time for strategic shifts to address this fully</w:t>
      </w:r>
      <w:r w:rsidR="00EC53F6">
        <w:rPr>
          <w:rFonts w:ascii="Arial" w:hAnsi="Arial" w:cs="Arial"/>
          <w:sz w:val="22"/>
          <w:szCs w:val="22"/>
          <w:lang w:eastAsia="ja-JP"/>
        </w:rPr>
        <w:t>.</w:t>
      </w:r>
    </w:p>
    <w:p w:rsidR="00EC53F6" w:rsidRDefault="00EC53F6" w:rsidP="009D6EC4">
      <w:pPr>
        <w:jc w:val="both"/>
        <w:rPr>
          <w:rFonts w:ascii="Arial" w:hAnsi="Arial" w:cs="Arial"/>
          <w:sz w:val="22"/>
          <w:szCs w:val="22"/>
          <w:lang w:eastAsia="ja-JP"/>
        </w:rPr>
      </w:pPr>
    </w:p>
    <w:p w:rsidR="00EC53F6" w:rsidRDefault="00EC53F6" w:rsidP="009D6EC4">
      <w:pPr>
        <w:jc w:val="both"/>
        <w:rPr>
          <w:rFonts w:ascii="Arial" w:hAnsi="Arial" w:cs="Arial"/>
          <w:sz w:val="22"/>
          <w:szCs w:val="22"/>
          <w:lang w:eastAsia="ja-JP"/>
        </w:rPr>
      </w:pPr>
      <w:r>
        <w:rPr>
          <w:rFonts w:ascii="Arial" w:hAnsi="Arial" w:cs="Arial"/>
          <w:sz w:val="22"/>
          <w:szCs w:val="22"/>
          <w:lang w:eastAsia="ja-JP"/>
        </w:rPr>
        <w:t>To this end, CPAMO has:</w:t>
      </w:r>
    </w:p>
    <w:p w:rsidR="00EC53F6" w:rsidRDefault="00EC53F6" w:rsidP="009D6EC4">
      <w:pPr>
        <w:jc w:val="both"/>
        <w:rPr>
          <w:rFonts w:ascii="Arial" w:hAnsi="Arial" w:cs="Arial"/>
          <w:sz w:val="22"/>
          <w:szCs w:val="22"/>
          <w:lang w:eastAsia="ja-JP"/>
        </w:rPr>
      </w:pPr>
    </w:p>
    <w:p w:rsidR="00EC53F6" w:rsidRDefault="00EC53F6" w:rsidP="00610E09">
      <w:pPr>
        <w:pStyle w:val="ListParagraph"/>
        <w:numPr>
          <w:ilvl w:val="0"/>
          <w:numId w:val="21"/>
        </w:numPr>
        <w:jc w:val="both"/>
        <w:rPr>
          <w:rFonts w:ascii="Arial" w:hAnsi="Arial" w:cs="Arial"/>
          <w:sz w:val="22"/>
          <w:szCs w:val="22"/>
          <w:lang w:eastAsia="ja-JP"/>
        </w:rPr>
      </w:pPr>
      <w:r w:rsidRPr="00610E09">
        <w:rPr>
          <w:rFonts w:ascii="Arial" w:hAnsi="Arial" w:cs="Arial"/>
          <w:sz w:val="22"/>
          <w:szCs w:val="22"/>
          <w:lang w:eastAsia="ja-JP"/>
        </w:rPr>
        <w:t>published resources to engage and enable the arts and culture sector to move forward on these issues</w:t>
      </w:r>
      <w:r w:rsidR="00610E09" w:rsidRPr="00610E09">
        <w:rPr>
          <w:rFonts w:ascii="Arial" w:hAnsi="Arial" w:cs="Arial"/>
          <w:sz w:val="22"/>
          <w:szCs w:val="22"/>
          <w:lang w:eastAsia="ja-JP"/>
        </w:rPr>
        <w:t xml:space="preserve"> (</w:t>
      </w:r>
      <w:hyperlink r:id="rId8" w:history="1">
        <w:r w:rsidR="00610E09" w:rsidRPr="009C264D">
          <w:rPr>
            <w:rStyle w:val="Hyperlink"/>
            <w:rFonts w:ascii="Arial" w:hAnsi="Arial" w:cs="Arial"/>
            <w:sz w:val="22"/>
            <w:szCs w:val="22"/>
            <w:lang w:eastAsia="ja-JP"/>
          </w:rPr>
          <w:t>https://www.policyalternatives.ca/publications/ourschools-ourselves/pluralism-arts-canada</w:t>
        </w:r>
      </w:hyperlink>
      <w:r w:rsidR="00610E09" w:rsidRPr="00610E09">
        <w:rPr>
          <w:rFonts w:ascii="Arial" w:hAnsi="Arial" w:cs="Arial"/>
          <w:sz w:val="22"/>
          <w:szCs w:val="22"/>
          <w:lang w:eastAsia="ja-JP"/>
        </w:rPr>
        <w:t>)</w:t>
      </w:r>
      <w:r w:rsidR="00610E09">
        <w:rPr>
          <w:rFonts w:ascii="Arial" w:hAnsi="Arial" w:cs="Arial"/>
          <w:sz w:val="22"/>
          <w:szCs w:val="22"/>
          <w:lang w:eastAsia="ja-JP"/>
        </w:rPr>
        <w:t>; and</w:t>
      </w:r>
    </w:p>
    <w:p w:rsidR="00610E09" w:rsidRPr="00610E09" w:rsidRDefault="00610E09" w:rsidP="00610E09">
      <w:pPr>
        <w:jc w:val="both"/>
        <w:rPr>
          <w:rFonts w:ascii="Arial" w:hAnsi="Arial" w:cs="Arial"/>
          <w:sz w:val="22"/>
          <w:szCs w:val="22"/>
          <w:lang w:eastAsia="ja-JP"/>
        </w:rPr>
      </w:pPr>
    </w:p>
    <w:p w:rsidR="00641A67" w:rsidRPr="00641A67" w:rsidRDefault="00610E09" w:rsidP="00641A67">
      <w:pPr>
        <w:pStyle w:val="ListParagraph"/>
        <w:numPr>
          <w:ilvl w:val="0"/>
          <w:numId w:val="21"/>
        </w:numPr>
        <w:jc w:val="both"/>
        <w:rPr>
          <w:rFonts w:ascii="Arial" w:hAnsi="Arial" w:cs="Arial"/>
          <w:sz w:val="22"/>
          <w:szCs w:val="22"/>
          <w:lang w:eastAsia="ja-JP"/>
        </w:rPr>
      </w:pPr>
      <w:r>
        <w:rPr>
          <w:rFonts w:ascii="Arial" w:hAnsi="Arial" w:cs="Arial"/>
          <w:sz w:val="22"/>
          <w:szCs w:val="22"/>
          <w:lang w:eastAsia="ja-JP"/>
        </w:rPr>
        <w:t>worked with artists and those in the culture sector to address new developments related to shared platforms and collaborative projects (</w:t>
      </w:r>
      <w:r w:rsidRPr="00610E09">
        <w:rPr>
          <w:rFonts w:ascii="Arial" w:hAnsi="Arial" w:cs="Arial"/>
          <w:sz w:val="22"/>
          <w:szCs w:val="22"/>
          <w:lang w:eastAsia="ja-JP"/>
        </w:rPr>
        <w:t>http://www.scribd.com/doc/289617413/Thinking-Collaboratively-Acting-Collectively</w:t>
      </w:r>
      <w:r>
        <w:rPr>
          <w:rFonts w:ascii="Arial" w:hAnsi="Arial" w:cs="Arial"/>
          <w:sz w:val="22"/>
          <w:szCs w:val="22"/>
          <w:lang w:eastAsia="ja-JP"/>
        </w:rPr>
        <w:t>)</w:t>
      </w:r>
    </w:p>
    <w:p w:rsidR="00700278" w:rsidRDefault="00700278" w:rsidP="009D6EC4">
      <w:pPr>
        <w:jc w:val="both"/>
        <w:rPr>
          <w:rFonts w:ascii="Arial" w:hAnsi="Arial" w:cs="Arial"/>
          <w:sz w:val="22"/>
          <w:szCs w:val="22"/>
          <w:lang w:eastAsia="ja-JP"/>
        </w:rPr>
      </w:pPr>
    </w:p>
    <w:p w:rsidR="00A82AB2" w:rsidRDefault="00610E09" w:rsidP="009D6EC4">
      <w:pPr>
        <w:jc w:val="both"/>
        <w:rPr>
          <w:rFonts w:ascii="Arial" w:hAnsi="Arial" w:cs="Arial"/>
          <w:sz w:val="22"/>
          <w:szCs w:val="22"/>
          <w:lang w:eastAsia="ja-JP"/>
        </w:rPr>
      </w:pPr>
      <w:r>
        <w:rPr>
          <w:rFonts w:ascii="Arial" w:hAnsi="Arial" w:cs="Arial"/>
          <w:sz w:val="22"/>
          <w:szCs w:val="22"/>
          <w:lang w:eastAsia="ja-JP"/>
        </w:rPr>
        <w:t>With these and other resources, CPAMO is working with artists and others to address these matters, particulary given the requirements of funders to do so.</w:t>
      </w:r>
    </w:p>
    <w:p w:rsidR="0095171A" w:rsidRDefault="0095171A" w:rsidP="009D6EC4">
      <w:pPr>
        <w:jc w:val="both"/>
        <w:rPr>
          <w:rFonts w:ascii="Arial" w:hAnsi="Arial" w:cs="Arial"/>
          <w:sz w:val="22"/>
          <w:szCs w:val="22"/>
          <w:lang w:eastAsia="ja-JP"/>
        </w:rPr>
      </w:pPr>
    </w:p>
    <w:p w:rsidR="0095171A" w:rsidRPr="00F00617" w:rsidRDefault="0095171A" w:rsidP="009D6EC4">
      <w:pPr>
        <w:jc w:val="both"/>
        <w:rPr>
          <w:rFonts w:ascii="Arial" w:hAnsi="Arial" w:cs="Arial"/>
          <w:b/>
          <w:sz w:val="22"/>
          <w:szCs w:val="22"/>
          <w:lang w:eastAsia="ja-JP"/>
        </w:rPr>
      </w:pPr>
      <w:r w:rsidRPr="00F00617">
        <w:rPr>
          <w:rFonts w:ascii="Arial" w:hAnsi="Arial" w:cs="Arial"/>
          <w:b/>
          <w:sz w:val="22"/>
          <w:szCs w:val="22"/>
          <w:lang w:eastAsia="ja-JP"/>
        </w:rPr>
        <w:t>Recommendations</w:t>
      </w:r>
    </w:p>
    <w:p w:rsidR="0095171A" w:rsidRPr="00F00617" w:rsidRDefault="0095171A" w:rsidP="009D6EC4">
      <w:pPr>
        <w:jc w:val="both"/>
        <w:rPr>
          <w:rFonts w:ascii="Arial" w:hAnsi="Arial" w:cs="Arial"/>
          <w:sz w:val="22"/>
          <w:szCs w:val="22"/>
          <w:lang w:eastAsia="ja-JP"/>
        </w:rPr>
      </w:pPr>
    </w:p>
    <w:p w:rsidR="00F00617" w:rsidRDefault="0095171A" w:rsidP="0095171A">
      <w:pPr>
        <w:widowControl w:val="0"/>
        <w:numPr>
          <w:ilvl w:val="0"/>
          <w:numId w:val="18"/>
        </w:numPr>
        <w:tabs>
          <w:tab w:val="left" w:pos="220"/>
          <w:tab w:val="left" w:pos="720"/>
        </w:tabs>
        <w:autoSpaceDE w:val="0"/>
        <w:autoSpaceDN w:val="0"/>
        <w:adjustRightInd w:val="0"/>
        <w:ind w:hanging="720"/>
        <w:rPr>
          <w:rFonts w:ascii="Arial" w:hAnsi="Arial" w:cs="Arial"/>
          <w:sz w:val="22"/>
          <w:szCs w:val="22"/>
          <w:lang w:eastAsia="ja-JP"/>
        </w:rPr>
      </w:pPr>
      <w:r w:rsidRPr="00F00617">
        <w:rPr>
          <w:rFonts w:ascii="Arial" w:hAnsi="Arial" w:cs="Arial"/>
          <w:sz w:val="22"/>
          <w:szCs w:val="22"/>
          <w:lang w:eastAsia="ja-JP"/>
        </w:rPr>
        <w:t xml:space="preserve">That the Ministry of Tourism, Culture, and Sport invest in increased funding for the Ontario Arts Council and the Ontario Trillium Foundation. The per capita funding of the Ontario Arts Council currently sits at $4.35 per head, as a result Ontario ranks seventh among the provinces. </w:t>
      </w:r>
      <w:r w:rsidR="00F00617">
        <w:rPr>
          <w:rFonts w:ascii="Arial" w:hAnsi="Arial" w:cs="Arial"/>
          <w:sz w:val="22"/>
          <w:szCs w:val="22"/>
          <w:lang w:eastAsia="ja-JP"/>
        </w:rPr>
        <w:t>As the most diverse and populated province, Ontario should be first here</w:t>
      </w:r>
      <w:r w:rsidR="004043C2">
        <w:rPr>
          <w:rFonts w:ascii="Arial" w:hAnsi="Arial" w:cs="Arial"/>
          <w:sz w:val="22"/>
          <w:szCs w:val="22"/>
          <w:lang w:eastAsia="ja-JP"/>
        </w:rPr>
        <w:t>.</w:t>
      </w:r>
    </w:p>
    <w:p w:rsidR="00641A67" w:rsidRDefault="00641A67" w:rsidP="0095171A">
      <w:pPr>
        <w:widowControl w:val="0"/>
        <w:numPr>
          <w:ilvl w:val="0"/>
          <w:numId w:val="18"/>
        </w:numPr>
        <w:tabs>
          <w:tab w:val="left" w:pos="220"/>
          <w:tab w:val="left" w:pos="720"/>
        </w:tabs>
        <w:autoSpaceDE w:val="0"/>
        <w:autoSpaceDN w:val="0"/>
        <w:adjustRightInd w:val="0"/>
        <w:ind w:hanging="720"/>
        <w:rPr>
          <w:rFonts w:ascii="Arial" w:hAnsi="Arial" w:cs="Arial"/>
          <w:sz w:val="22"/>
          <w:szCs w:val="22"/>
          <w:lang w:eastAsia="ja-JP"/>
        </w:rPr>
      </w:pPr>
      <w:r>
        <w:rPr>
          <w:rFonts w:ascii="Arial" w:hAnsi="Arial" w:cs="Arial"/>
          <w:sz w:val="22"/>
          <w:szCs w:val="22"/>
          <w:lang w:eastAsia="ja-JP"/>
        </w:rPr>
        <w:t>That as part of the above, the Ministry of Tourism, Culture and Sport ensure that appropriate funds are dedicated to arts organizations that are catalysts to the change efforts needed to address the situations noted in this submission.</w:t>
      </w:r>
    </w:p>
    <w:p w:rsidR="0095171A" w:rsidRPr="00F00617" w:rsidRDefault="0095171A" w:rsidP="0095171A">
      <w:pPr>
        <w:widowControl w:val="0"/>
        <w:numPr>
          <w:ilvl w:val="0"/>
          <w:numId w:val="18"/>
        </w:numPr>
        <w:tabs>
          <w:tab w:val="left" w:pos="220"/>
          <w:tab w:val="left" w:pos="720"/>
        </w:tabs>
        <w:autoSpaceDE w:val="0"/>
        <w:autoSpaceDN w:val="0"/>
        <w:adjustRightInd w:val="0"/>
        <w:ind w:hanging="720"/>
        <w:rPr>
          <w:rFonts w:ascii="Arial" w:hAnsi="Arial" w:cs="Arial"/>
          <w:sz w:val="22"/>
          <w:szCs w:val="22"/>
          <w:lang w:eastAsia="ja-JP"/>
        </w:rPr>
      </w:pPr>
      <w:r w:rsidRPr="00F00617">
        <w:rPr>
          <w:rFonts w:ascii="Arial" w:hAnsi="Arial" w:cs="Arial"/>
          <w:sz w:val="22"/>
          <w:szCs w:val="22"/>
          <w:lang w:eastAsia="ja-JP"/>
        </w:rPr>
        <w:t>That the Ministry of Tourism, Culture and Sport request that the Ministry of Education require all the faculties of</w:t>
      </w:r>
      <w:r w:rsidR="000E2BD2">
        <w:rPr>
          <w:rFonts w:ascii="Arial" w:hAnsi="Arial" w:cs="Arial"/>
          <w:sz w:val="22"/>
          <w:szCs w:val="22"/>
          <w:lang w:eastAsia="ja-JP"/>
        </w:rPr>
        <w:t xml:space="preserve"> education in Ontario make arts</w:t>
      </w:r>
      <w:r w:rsidRPr="00F00617">
        <w:rPr>
          <w:rFonts w:ascii="Arial" w:hAnsi="Arial" w:cs="Arial"/>
          <w:sz w:val="22"/>
          <w:szCs w:val="22"/>
          <w:lang w:eastAsia="ja-JP"/>
        </w:rPr>
        <w:t xml:space="preserve"> education a priority as part of teacher training to ensure the Ontario arts curriculum is taught</w:t>
      </w:r>
      <w:r w:rsidR="000E2BD2">
        <w:rPr>
          <w:rFonts w:ascii="Arial" w:hAnsi="Arial" w:cs="Arial"/>
          <w:sz w:val="22"/>
          <w:szCs w:val="22"/>
          <w:lang w:eastAsia="ja-JP"/>
        </w:rPr>
        <w:t xml:space="preserve"> and that it address the issues discussed in this paper</w:t>
      </w:r>
      <w:r w:rsidRPr="00F00617">
        <w:rPr>
          <w:rFonts w:ascii="Arial" w:hAnsi="Arial" w:cs="Arial"/>
          <w:sz w:val="22"/>
          <w:szCs w:val="22"/>
          <w:lang w:eastAsia="ja-JP"/>
        </w:rPr>
        <w:t>.</w:t>
      </w:r>
    </w:p>
    <w:p w:rsidR="000E2BD2" w:rsidRDefault="0095171A" w:rsidP="000E2BD2">
      <w:pPr>
        <w:widowControl w:val="0"/>
        <w:numPr>
          <w:ilvl w:val="0"/>
          <w:numId w:val="19"/>
        </w:numPr>
        <w:tabs>
          <w:tab w:val="left" w:pos="220"/>
          <w:tab w:val="left" w:pos="720"/>
        </w:tabs>
        <w:autoSpaceDE w:val="0"/>
        <w:autoSpaceDN w:val="0"/>
        <w:adjustRightInd w:val="0"/>
        <w:ind w:hanging="720"/>
        <w:rPr>
          <w:rFonts w:ascii="Arial" w:hAnsi="Arial" w:cs="Arial"/>
          <w:sz w:val="22"/>
          <w:szCs w:val="22"/>
          <w:lang w:eastAsia="ja-JP"/>
        </w:rPr>
      </w:pPr>
      <w:r w:rsidRPr="00F00617">
        <w:rPr>
          <w:rFonts w:ascii="Arial" w:hAnsi="Arial" w:cs="Arial"/>
          <w:sz w:val="22"/>
          <w:szCs w:val="22"/>
          <w:lang w:eastAsia="ja-JP"/>
        </w:rPr>
        <w:t>That the Ministry of Tourism, Culture, and Sport invest in youth employment in the arts through training/internship programs at the community level</w:t>
      </w:r>
      <w:r w:rsidR="000E2BD2">
        <w:rPr>
          <w:rFonts w:ascii="Arial" w:hAnsi="Arial" w:cs="Arial"/>
          <w:sz w:val="22"/>
          <w:szCs w:val="22"/>
          <w:lang w:eastAsia="ja-JP"/>
        </w:rPr>
        <w:t>, particularly with Indigenous, racialized and other marginalized arts organizations</w:t>
      </w:r>
      <w:r w:rsidRPr="00F00617">
        <w:rPr>
          <w:rFonts w:ascii="Arial" w:hAnsi="Arial" w:cs="Arial"/>
          <w:sz w:val="22"/>
          <w:szCs w:val="22"/>
          <w:lang w:eastAsia="ja-JP"/>
        </w:rPr>
        <w:t>.</w:t>
      </w:r>
    </w:p>
    <w:p w:rsidR="000E2BD2" w:rsidRDefault="009D43A2" w:rsidP="000E2BD2">
      <w:pPr>
        <w:widowControl w:val="0"/>
        <w:numPr>
          <w:ilvl w:val="0"/>
          <w:numId w:val="19"/>
        </w:numPr>
        <w:tabs>
          <w:tab w:val="left" w:pos="220"/>
          <w:tab w:val="left" w:pos="720"/>
        </w:tabs>
        <w:autoSpaceDE w:val="0"/>
        <w:autoSpaceDN w:val="0"/>
        <w:adjustRightInd w:val="0"/>
        <w:ind w:hanging="720"/>
        <w:rPr>
          <w:rFonts w:ascii="Arial" w:hAnsi="Arial" w:cs="Arial"/>
          <w:sz w:val="22"/>
          <w:szCs w:val="22"/>
          <w:lang w:eastAsia="ja-JP"/>
        </w:rPr>
      </w:pPr>
      <w:r>
        <w:rPr>
          <w:rFonts w:ascii="Arial" w:hAnsi="Arial" w:cs="Arial"/>
          <w:sz w:val="22"/>
          <w:szCs w:val="22"/>
          <w:lang w:eastAsia="ja-JP"/>
        </w:rPr>
        <w:t>That the I</w:t>
      </w:r>
      <w:r w:rsidR="0095171A" w:rsidRPr="000E2BD2">
        <w:rPr>
          <w:rFonts w:ascii="Arial" w:hAnsi="Arial" w:cs="Arial"/>
          <w:sz w:val="22"/>
          <w:szCs w:val="22"/>
          <w:lang w:eastAsia="ja-JP"/>
        </w:rPr>
        <w:t xml:space="preserve">ndigenous and racially marginalized </w:t>
      </w:r>
      <w:r w:rsidR="000E2BD2">
        <w:rPr>
          <w:rFonts w:ascii="Arial" w:hAnsi="Arial" w:cs="Arial"/>
          <w:sz w:val="22"/>
          <w:szCs w:val="22"/>
          <w:lang w:eastAsia="ja-JP"/>
        </w:rPr>
        <w:t>arts</w:t>
      </w:r>
      <w:r w:rsidR="0095171A" w:rsidRPr="000E2BD2">
        <w:rPr>
          <w:rFonts w:ascii="Arial" w:hAnsi="Arial" w:cs="Arial"/>
          <w:sz w:val="22"/>
          <w:szCs w:val="22"/>
          <w:lang w:eastAsia="ja-JP"/>
        </w:rPr>
        <w:t xml:space="preserve"> sector be </w:t>
      </w:r>
      <w:r>
        <w:rPr>
          <w:rFonts w:ascii="Arial" w:hAnsi="Arial" w:cs="Arial"/>
          <w:sz w:val="22"/>
          <w:szCs w:val="22"/>
          <w:lang w:eastAsia="ja-JP"/>
        </w:rPr>
        <w:t xml:space="preserve">fully </w:t>
      </w:r>
      <w:r w:rsidR="0095171A" w:rsidRPr="000E2BD2">
        <w:rPr>
          <w:rFonts w:ascii="Arial" w:hAnsi="Arial" w:cs="Arial"/>
          <w:sz w:val="22"/>
          <w:szCs w:val="22"/>
          <w:lang w:eastAsia="ja-JP"/>
        </w:rPr>
        <w:t>acknowledged, recognized</w:t>
      </w:r>
      <w:r>
        <w:rPr>
          <w:rFonts w:ascii="Arial" w:hAnsi="Arial" w:cs="Arial"/>
          <w:sz w:val="22"/>
          <w:szCs w:val="22"/>
          <w:lang w:eastAsia="ja-JP"/>
        </w:rPr>
        <w:t xml:space="preserve"> as one of the most vibrant contributors to the arts in Ontario and Canada</w:t>
      </w:r>
      <w:r w:rsidR="0095171A" w:rsidRPr="000E2BD2">
        <w:rPr>
          <w:rFonts w:ascii="Arial" w:hAnsi="Arial" w:cs="Arial"/>
          <w:sz w:val="22"/>
          <w:szCs w:val="22"/>
          <w:lang w:eastAsia="ja-JP"/>
        </w:rPr>
        <w:t>, and</w:t>
      </w:r>
      <w:r>
        <w:rPr>
          <w:rFonts w:ascii="Arial" w:hAnsi="Arial" w:cs="Arial"/>
          <w:sz w:val="22"/>
          <w:szCs w:val="22"/>
          <w:lang w:eastAsia="ja-JP"/>
        </w:rPr>
        <w:t xml:space="preserve"> ought to be</w:t>
      </w:r>
      <w:r w:rsidR="0095171A" w:rsidRPr="000E2BD2">
        <w:rPr>
          <w:rFonts w:ascii="Arial" w:hAnsi="Arial" w:cs="Arial"/>
          <w:sz w:val="22"/>
          <w:szCs w:val="22"/>
          <w:lang w:eastAsia="ja-JP"/>
        </w:rPr>
        <w:t xml:space="preserve"> equitably funded.</w:t>
      </w:r>
      <w:r>
        <w:rPr>
          <w:rFonts w:ascii="Arial" w:hAnsi="Arial" w:cs="Arial"/>
          <w:sz w:val="22"/>
          <w:szCs w:val="22"/>
          <w:lang w:eastAsia="ja-JP"/>
        </w:rPr>
        <w:t xml:space="preserve">  This to be done in a transparent manner with clearly declared goals, timetables, dedication of human and financial resources, and public education/promotion of their aesthetic practices</w:t>
      </w:r>
    </w:p>
    <w:p w:rsidR="009D43A2" w:rsidRDefault="00A526AD" w:rsidP="000E2BD2">
      <w:pPr>
        <w:widowControl w:val="0"/>
        <w:numPr>
          <w:ilvl w:val="0"/>
          <w:numId w:val="19"/>
        </w:numPr>
        <w:tabs>
          <w:tab w:val="left" w:pos="220"/>
          <w:tab w:val="left" w:pos="720"/>
        </w:tabs>
        <w:autoSpaceDE w:val="0"/>
        <w:autoSpaceDN w:val="0"/>
        <w:adjustRightInd w:val="0"/>
        <w:ind w:hanging="720"/>
        <w:rPr>
          <w:rFonts w:ascii="Arial" w:hAnsi="Arial" w:cs="Arial"/>
          <w:sz w:val="22"/>
          <w:szCs w:val="22"/>
          <w:lang w:eastAsia="ja-JP"/>
        </w:rPr>
      </w:pPr>
      <w:r>
        <w:rPr>
          <w:rFonts w:ascii="Arial" w:hAnsi="Arial" w:cs="Arial"/>
          <w:sz w:val="22"/>
          <w:szCs w:val="22"/>
          <w:lang w:eastAsia="ja-JP"/>
        </w:rPr>
        <w:t xml:space="preserve">That </w:t>
      </w:r>
      <w:r w:rsidR="00610E09">
        <w:rPr>
          <w:rFonts w:ascii="Arial" w:hAnsi="Arial" w:cs="Arial"/>
          <w:sz w:val="22"/>
          <w:szCs w:val="22"/>
          <w:lang w:eastAsia="ja-JP"/>
        </w:rPr>
        <w:t xml:space="preserve">the </w:t>
      </w:r>
      <w:r w:rsidR="00641A67" w:rsidRPr="00F00617">
        <w:rPr>
          <w:rFonts w:ascii="Arial" w:hAnsi="Arial" w:cs="Arial"/>
          <w:sz w:val="22"/>
          <w:szCs w:val="22"/>
          <w:lang w:eastAsia="ja-JP"/>
        </w:rPr>
        <w:t xml:space="preserve">Ministry of Tourism, Culture, and Sport </w:t>
      </w:r>
      <w:r w:rsidR="00610E09">
        <w:rPr>
          <w:rFonts w:ascii="Arial" w:hAnsi="Arial" w:cs="Arial"/>
          <w:sz w:val="22"/>
          <w:szCs w:val="22"/>
          <w:lang w:eastAsia="ja-JP"/>
        </w:rPr>
        <w:t xml:space="preserve">support </w:t>
      </w:r>
      <w:r>
        <w:rPr>
          <w:rFonts w:ascii="Arial" w:hAnsi="Arial" w:cs="Arial"/>
          <w:sz w:val="22"/>
          <w:szCs w:val="22"/>
          <w:lang w:eastAsia="ja-JP"/>
        </w:rPr>
        <w:t>funding bodies</w:t>
      </w:r>
      <w:r w:rsidR="00610E09">
        <w:rPr>
          <w:rFonts w:ascii="Arial" w:hAnsi="Arial" w:cs="Arial"/>
          <w:sz w:val="22"/>
          <w:szCs w:val="22"/>
          <w:lang w:eastAsia="ja-JP"/>
        </w:rPr>
        <w:t xml:space="preserve"> with dedicated funding to</w:t>
      </w:r>
      <w:r>
        <w:rPr>
          <w:rFonts w:ascii="Arial" w:hAnsi="Arial" w:cs="Arial"/>
          <w:sz w:val="22"/>
          <w:szCs w:val="22"/>
          <w:lang w:eastAsia="ja-JP"/>
        </w:rPr>
        <w:t xml:space="preserve"> invest in education and training programs for artists and arts organizations so that they can develop the knowledge, capac</w:t>
      </w:r>
      <w:r w:rsidR="00546046">
        <w:rPr>
          <w:rFonts w:ascii="Arial" w:hAnsi="Arial" w:cs="Arial"/>
          <w:sz w:val="22"/>
          <w:szCs w:val="22"/>
          <w:lang w:eastAsia="ja-JP"/>
        </w:rPr>
        <w:t>ities and skills to develop and engage Indigenous, racialized and other historically-marginalized arts and communities</w:t>
      </w:r>
      <w:r w:rsidR="00641A67">
        <w:rPr>
          <w:rFonts w:ascii="Arial" w:hAnsi="Arial" w:cs="Arial"/>
          <w:sz w:val="22"/>
          <w:szCs w:val="22"/>
          <w:lang w:eastAsia="ja-JP"/>
        </w:rPr>
        <w:t>.</w:t>
      </w:r>
    </w:p>
    <w:p w:rsidR="00641A67" w:rsidRDefault="00641A67" w:rsidP="000E2BD2">
      <w:pPr>
        <w:widowControl w:val="0"/>
        <w:numPr>
          <w:ilvl w:val="0"/>
          <w:numId w:val="19"/>
        </w:numPr>
        <w:tabs>
          <w:tab w:val="left" w:pos="220"/>
          <w:tab w:val="left" w:pos="720"/>
        </w:tabs>
        <w:autoSpaceDE w:val="0"/>
        <w:autoSpaceDN w:val="0"/>
        <w:adjustRightInd w:val="0"/>
        <w:ind w:hanging="720"/>
        <w:rPr>
          <w:rFonts w:ascii="Arial" w:hAnsi="Arial" w:cs="Arial"/>
          <w:sz w:val="22"/>
          <w:szCs w:val="22"/>
          <w:lang w:eastAsia="ja-JP"/>
        </w:rPr>
      </w:pPr>
      <w:r>
        <w:rPr>
          <w:rFonts w:ascii="Arial" w:hAnsi="Arial" w:cs="Arial"/>
          <w:sz w:val="22"/>
          <w:szCs w:val="22"/>
          <w:lang w:eastAsia="ja-JP"/>
        </w:rPr>
        <w:t xml:space="preserve">That the </w:t>
      </w:r>
      <w:r w:rsidRPr="00F00617">
        <w:rPr>
          <w:rFonts w:ascii="Arial" w:hAnsi="Arial" w:cs="Arial"/>
          <w:sz w:val="22"/>
          <w:szCs w:val="22"/>
          <w:lang w:eastAsia="ja-JP"/>
        </w:rPr>
        <w:t>Ministry of Tourism, Culture, and Sport</w:t>
      </w:r>
      <w:r>
        <w:rPr>
          <w:rFonts w:ascii="Arial" w:hAnsi="Arial" w:cs="Arial"/>
          <w:sz w:val="22"/>
          <w:szCs w:val="22"/>
          <w:lang w:eastAsia="ja-JP"/>
        </w:rPr>
        <w:t xml:space="preserve"> work directly with community partners such as CPAMO to address the issues put forward in this submission.</w:t>
      </w:r>
    </w:p>
    <w:p w:rsidR="00641A67" w:rsidRDefault="00641A67" w:rsidP="00641A67">
      <w:pPr>
        <w:widowControl w:val="0"/>
        <w:tabs>
          <w:tab w:val="left" w:pos="220"/>
          <w:tab w:val="left" w:pos="720"/>
        </w:tabs>
        <w:autoSpaceDE w:val="0"/>
        <w:autoSpaceDN w:val="0"/>
        <w:adjustRightInd w:val="0"/>
        <w:rPr>
          <w:rFonts w:ascii="Arial" w:hAnsi="Arial" w:cs="Arial"/>
          <w:sz w:val="22"/>
          <w:szCs w:val="22"/>
          <w:lang w:eastAsia="ja-JP"/>
        </w:rPr>
      </w:pPr>
    </w:p>
    <w:p w:rsidR="00610E09" w:rsidRDefault="00610E09" w:rsidP="00641A67">
      <w:pPr>
        <w:widowControl w:val="0"/>
        <w:tabs>
          <w:tab w:val="left" w:pos="220"/>
          <w:tab w:val="left" w:pos="720"/>
        </w:tabs>
        <w:autoSpaceDE w:val="0"/>
        <w:autoSpaceDN w:val="0"/>
        <w:adjustRightInd w:val="0"/>
        <w:rPr>
          <w:rFonts w:ascii="Arial" w:hAnsi="Arial" w:cs="Arial"/>
          <w:sz w:val="22"/>
          <w:szCs w:val="22"/>
          <w:lang w:eastAsia="ja-JP"/>
        </w:rPr>
      </w:pPr>
    </w:p>
    <w:p w:rsidR="009148C8" w:rsidRPr="009D6EC4" w:rsidRDefault="009148C8" w:rsidP="009D6EC4">
      <w:pPr>
        <w:jc w:val="both"/>
        <w:rPr>
          <w:rFonts w:ascii="Arial" w:hAnsi="Arial" w:cs="Arial"/>
          <w:sz w:val="22"/>
          <w:szCs w:val="22"/>
        </w:rPr>
      </w:pPr>
    </w:p>
    <w:sectPr w:rsidR="009148C8" w:rsidRPr="009D6EC4" w:rsidSect="004E127E">
      <w:headerReference w:type="default" r:id="rId9"/>
      <w:footerReference w:type="even" r:id="rId10"/>
      <w:footerReference w:type="default" r:id="rId11"/>
      <w:pgSz w:w="12240" w:h="15840"/>
      <w:pgMar w:top="1440" w:right="1800" w:bottom="1440" w:left="171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1B7C" w:rsidRDefault="00791B7C" w:rsidP="00AE6101">
      <w:r>
        <w:separator/>
      </w:r>
    </w:p>
  </w:endnote>
  <w:endnote w:type="continuationSeparator" w:id="0">
    <w:p w:rsidR="00791B7C" w:rsidRDefault="00791B7C" w:rsidP="00AE610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明朝">
    <w:altName w:val="MS Mincho"/>
    <w:charset w:val="4E"/>
    <w:family w:val="auto"/>
    <w:pitch w:val="variable"/>
    <w:sig w:usb0="00000000" w:usb1="6AC7FDFB" w:usb2="00000012" w:usb3="00000000" w:csb0="0002009F" w:csb1="00000000"/>
  </w:font>
  <w:font w:name="Lucida Grande">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53F6" w:rsidRDefault="002E3E88" w:rsidP="00526336">
    <w:pPr>
      <w:pStyle w:val="Footer"/>
      <w:framePr w:wrap="around" w:vAnchor="text" w:hAnchor="margin" w:xAlign="right" w:y="1"/>
      <w:rPr>
        <w:rStyle w:val="PageNumber"/>
      </w:rPr>
    </w:pPr>
    <w:r>
      <w:rPr>
        <w:rStyle w:val="PageNumber"/>
      </w:rPr>
      <w:fldChar w:fldCharType="begin"/>
    </w:r>
    <w:r w:rsidR="00EC53F6">
      <w:rPr>
        <w:rStyle w:val="PageNumber"/>
      </w:rPr>
      <w:instrText xml:space="preserve">PAGE  </w:instrText>
    </w:r>
    <w:r>
      <w:rPr>
        <w:rStyle w:val="PageNumber"/>
      </w:rPr>
      <w:fldChar w:fldCharType="end"/>
    </w:r>
  </w:p>
  <w:p w:rsidR="00EC53F6" w:rsidRDefault="00EC53F6" w:rsidP="00AE6101">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53F6" w:rsidRDefault="002E3E88" w:rsidP="00526336">
    <w:pPr>
      <w:pStyle w:val="Footer"/>
      <w:framePr w:wrap="around" w:vAnchor="text" w:hAnchor="margin" w:xAlign="right" w:y="1"/>
      <w:rPr>
        <w:rStyle w:val="PageNumber"/>
      </w:rPr>
    </w:pPr>
    <w:r>
      <w:rPr>
        <w:rStyle w:val="PageNumber"/>
      </w:rPr>
      <w:fldChar w:fldCharType="begin"/>
    </w:r>
    <w:r w:rsidR="00EC53F6">
      <w:rPr>
        <w:rStyle w:val="PageNumber"/>
      </w:rPr>
      <w:instrText xml:space="preserve">PAGE  </w:instrText>
    </w:r>
    <w:r>
      <w:rPr>
        <w:rStyle w:val="PageNumber"/>
      </w:rPr>
      <w:fldChar w:fldCharType="separate"/>
    </w:r>
    <w:r w:rsidR="00791B7C">
      <w:rPr>
        <w:rStyle w:val="PageNumber"/>
        <w:noProof/>
      </w:rPr>
      <w:t>1</w:t>
    </w:r>
    <w:r>
      <w:rPr>
        <w:rStyle w:val="PageNumber"/>
      </w:rPr>
      <w:fldChar w:fldCharType="end"/>
    </w:r>
  </w:p>
  <w:p w:rsidR="00EC53F6" w:rsidRDefault="00EC53F6" w:rsidP="00AE6101">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1B7C" w:rsidRDefault="00791B7C" w:rsidP="00AE6101">
      <w:r>
        <w:separator/>
      </w:r>
    </w:p>
  </w:footnote>
  <w:footnote w:type="continuationSeparator" w:id="0">
    <w:p w:rsidR="00791B7C" w:rsidRDefault="00791B7C" w:rsidP="00AE6101">
      <w:r>
        <w:continuationSeparator/>
      </w:r>
    </w:p>
  </w:footnote>
  <w:footnote w:id="1">
    <w:p w:rsidR="00EC53F6" w:rsidRPr="00327682" w:rsidRDefault="00EC53F6" w:rsidP="00CC29E7">
      <w:pPr>
        <w:pStyle w:val="FootnoteText"/>
        <w:rPr>
          <w:rFonts w:asciiTheme="majorBidi" w:hAnsiTheme="majorBidi" w:cstheme="majorBidi"/>
          <w:sz w:val="20"/>
          <w:szCs w:val="20"/>
        </w:rPr>
      </w:pPr>
      <w:r w:rsidRPr="00327682">
        <w:rPr>
          <w:rStyle w:val="FootnoteReference"/>
          <w:rFonts w:asciiTheme="majorBidi" w:hAnsiTheme="majorBidi" w:cstheme="majorBidi"/>
          <w:sz w:val="20"/>
          <w:szCs w:val="20"/>
        </w:rPr>
        <w:footnoteRef/>
      </w:r>
      <w:r w:rsidRPr="00327682">
        <w:rPr>
          <w:rFonts w:asciiTheme="majorBidi" w:hAnsiTheme="majorBidi" w:cstheme="majorBidi"/>
          <w:sz w:val="20"/>
          <w:szCs w:val="20"/>
        </w:rPr>
        <w:t xml:space="preserve"> Globe and Mail, Saturday, March 12, 2011, Section F p.</w:t>
      </w:r>
    </w:p>
  </w:footnote>
  <w:footnote w:id="2">
    <w:p w:rsidR="00EC53F6" w:rsidRPr="00431ED1" w:rsidRDefault="00EC53F6" w:rsidP="00CC29E7">
      <w:pPr>
        <w:pStyle w:val="FootnoteText"/>
        <w:rPr>
          <w:rFonts w:asciiTheme="minorBidi" w:hAnsiTheme="minorBidi" w:cstheme="minorBidi"/>
          <w:sz w:val="20"/>
          <w:szCs w:val="20"/>
        </w:rPr>
      </w:pPr>
      <w:r w:rsidRPr="00431ED1">
        <w:rPr>
          <w:rStyle w:val="FootnoteReference"/>
          <w:rFonts w:asciiTheme="minorBidi" w:hAnsiTheme="minorBidi" w:cstheme="minorBidi"/>
          <w:sz w:val="20"/>
          <w:szCs w:val="20"/>
        </w:rPr>
        <w:footnoteRef/>
      </w:r>
      <w:r w:rsidRPr="00431ED1">
        <w:rPr>
          <w:rFonts w:asciiTheme="minorBidi" w:hAnsiTheme="minorBidi" w:cstheme="minorBidi"/>
          <w:sz w:val="20"/>
          <w:szCs w:val="20"/>
        </w:rPr>
        <w:t xml:space="preserve"> See </w:t>
      </w:r>
      <w:r w:rsidRPr="00431ED1">
        <w:rPr>
          <w:rFonts w:asciiTheme="minorBidi" w:hAnsiTheme="minorBidi" w:cstheme="minorBidi"/>
          <w:b/>
          <w:i/>
          <w:sz w:val="20"/>
          <w:szCs w:val="20"/>
        </w:rPr>
        <w:t xml:space="preserve">Participation and Activity Limitation Survey 2006: Analytical Report, </w:t>
      </w:r>
      <w:r w:rsidRPr="00431ED1">
        <w:rPr>
          <w:rFonts w:asciiTheme="minorBidi" w:hAnsiTheme="minorBidi" w:cstheme="minorBidi"/>
          <w:sz w:val="20"/>
          <w:szCs w:val="20"/>
        </w:rPr>
        <w:t>Statistics Canada 2006 at 9</w:t>
      </w:r>
    </w:p>
  </w:footnote>
  <w:footnote w:id="3">
    <w:p w:rsidR="00EC53F6" w:rsidRPr="00431ED1" w:rsidRDefault="00EC53F6" w:rsidP="00CC29E7">
      <w:pPr>
        <w:pStyle w:val="FootnoteText"/>
        <w:rPr>
          <w:rFonts w:asciiTheme="minorBidi" w:hAnsiTheme="minorBidi" w:cstheme="minorBidi"/>
          <w:sz w:val="20"/>
          <w:szCs w:val="20"/>
        </w:rPr>
      </w:pPr>
      <w:r w:rsidRPr="00431ED1">
        <w:rPr>
          <w:rStyle w:val="FootnoteReference"/>
          <w:rFonts w:asciiTheme="minorBidi" w:hAnsiTheme="minorBidi" w:cstheme="minorBidi"/>
          <w:sz w:val="20"/>
          <w:szCs w:val="20"/>
        </w:rPr>
        <w:footnoteRef/>
      </w:r>
      <w:r w:rsidRPr="00431ED1">
        <w:rPr>
          <w:rFonts w:asciiTheme="minorBidi" w:hAnsiTheme="minorBidi" w:cstheme="minorBidi"/>
          <w:sz w:val="20"/>
          <w:szCs w:val="20"/>
        </w:rPr>
        <w:t xml:space="preserve"> Visible minority population, by age group (2006 Census) Statistics Canada </w:t>
      </w:r>
      <w:hyperlink r:id="rId1" w:history="1">
        <w:r w:rsidRPr="00431ED1">
          <w:rPr>
            <w:rStyle w:val="Hyperlink"/>
            <w:rFonts w:asciiTheme="minorBidi" w:eastAsiaTheme="majorEastAsia" w:hAnsiTheme="minorBidi" w:cstheme="minorBidi"/>
            <w:sz w:val="20"/>
            <w:szCs w:val="20"/>
          </w:rPr>
          <w:t>http://www40.statcan.gc.ca/l01/cst01/demo50a-eng.htm</w:t>
        </w:r>
      </w:hyperlink>
      <w:r w:rsidRPr="00431ED1">
        <w:rPr>
          <w:rStyle w:val="Hyperlink"/>
          <w:rFonts w:asciiTheme="minorBidi" w:eastAsiaTheme="majorEastAsia" w:hAnsiTheme="minorBidi" w:cstheme="minorBidi"/>
          <w:sz w:val="20"/>
          <w:szCs w:val="20"/>
        </w:rPr>
        <w:t>.  While Statistics Canada census data refers to racialized groups as visible minorities, there has been strong distaste amongst critical race scholars about the imprecision of this term.  See footnote # 2 for some references to the term ‘racialized’ and ‘racialization’</w:t>
      </w:r>
      <w:r w:rsidRPr="00431ED1">
        <w:rPr>
          <w:rStyle w:val="Hyperlink"/>
          <w:rFonts w:asciiTheme="minorBidi" w:eastAsiaTheme="majorEastAsia" w:hAnsiTheme="minorBidi" w:cstheme="minorBidi"/>
          <w:b/>
          <w:i/>
          <w:sz w:val="20"/>
          <w:szCs w:val="20"/>
        </w:rPr>
        <w:t>.</w:t>
      </w:r>
    </w:p>
  </w:footnote>
  <w:footnote w:id="4">
    <w:p w:rsidR="00EC53F6" w:rsidRPr="00431ED1" w:rsidRDefault="00EC53F6" w:rsidP="00CC29E7">
      <w:pPr>
        <w:pStyle w:val="FootnoteText"/>
        <w:rPr>
          <w:rFonts w:asciiTheme="minorBidi" w:hAnsiTheme="minorBidi" w:cstheme="minorBidi"/>
          <w:sz w:val="20"/>
          <w:szCs w:val="20"/>
        </w:rPr>
      </w:pPr>
      <w:r w:rsidRPr="00431ED1">
        <w:rPr>
          <w:rStyle w:val="FootnoteReference"/>
          <w:rFonts w:asciiTheme="minorBidi" w:hAnsiTheme="minorBidi" w:cstheme="minorBidi"/>
          <w:sz w:val="20"/>
          <w:szCs w:val="20"/>
        </w:rPr>
        <w:footnoteRef/>
      </w:r>
      <w:r w:rsidRPr="00431ED1">
        <w:rPr>
          <w:rFonts w:asciiTheme="minorBidi" w:hAnsiTheme="minorBidi" w:cstheme="minorBidi"/>
          <w:sz w:val="20"/>
          <w:szCs w:val="20"/>
        </w:rPr>
        <w:t xml:space="preserve"> See </w:t>
      </w:r>
      <w:r w:rsidRPr="00431ED1">
        <w:rPr>
          <w:rFonts w:asciiTheme="minorBidi" w:hAnsiTheme="minorBidi" w:cstheme="minorBidi"/>
          <w:b/>
          <w:i/>
          <w:sz w:val="20"/>
          <w:szCs w:val="20"/>
        </w:rPr>
        <w:t>Indigenous Peoples in Canada in 2006: Inuit, Metis and First Nations, 2006 Census</w:t>
      </w:r>
      <w:r w:rsidRPr="00431ED1">
        <w:rPr>
          <w:rFonts w:asciiTheme="minorBidi" w:hAnsiTheme="minorBidi" w:cstheme="minorBidi"/>
          <w:sz w:val="20"/>
          <w:szCs w:val="20"/>
        </w:rPr>
        <w:t xml:space="preserve"> at 6-7</w:t>
      </w:r>
    </w:p>
  </w:footnote>
  <w:footnote w:id="5">
    <w:p w:rsidR="00EC53F6" w:rsidRPr="00EB33D9" w:rsidRDefault="00EC53F6" w:rsidP="00CC29E7">
      <w:pPr>
        <w:pStyle w:val="FootnoteText"/>
        <w:rPr>
          <w:sz w:val="20"/>
          <w:szCs w:val="20"/>
        </w:rPr>
      </w:pPr>
      <w:r w:rsidRPr="00431ED1">
        <w:rPr>
          <w:rStyle w:val="FootnoteReference"/>
          <w:rFonts w:asciiTheme="minorBidi" w:hAnsiTheme="minorBidi" w:cstheme="minorBidi"/>
          <w:sz w:val="20"/>
          <w:szCs w:val="20"/>
        </w:rPr>
        <w:footnoteRef/>
      </w:r>
      <w:r w:rsidRPr="00431ED1">
        <w:rPr>
          <w:rFonts w:asciiTheme="minorBidi" w:hAnsiTheme="minorBidi" w:cstheme="minorBidi"/>
          <w:sz w:val="20"/>
          <w:szCs w:val="20"/>
        </w:rPr>
        <w:t xml:space="preserve"> See</w:t>
      </w:r>
      <w:r w:rsidRPr="00431ED1">
        <w:rPr>
          <w:rFonts w:asciiTheme="minorBidi" w:hAnsiTheme="minorBidi" w:cstheme="minorBidi"/>
          <w:b/>
          <w:i/>
          <w:sz w:val="20"/>
          <w:szCs w:val="20"/>
        </w:rPr>
        <w:t xml:space="preserve">  Making a Visible Difference: The Contribution of Visible Minorities to Canadian Economic Growth, </w:t>
      </w:r>
      <w:r w:rsidRPr="00431ED1">
        <w:rPr>
          <w:rFonts w:asciiTheme="minorBidi" w:hAnsiTheme="minorBidi" w:cstheme="minorBidi"/>
          <w:sz w:val="20"/>
          <w:szCs w:val="20"/>
        </w:rPr>
        <w:t>2004 at 3-5.</w:t>
      </w:r>
      <w:r w:rsidRPr="00EB33D9">
        <w:rPr>
          <w:sz w:val="20"/>
          <w:szCs w:val="20"/>
        </w:rPr>
        <w:t xml:space="preserve">  </w:t>
      </w:r>
    </w:p>
  </w:footnote>
  <w:footnote w:id="6">
    <w:p w:rsidR="00EC53F6" w:rsidRPr="00C97C8C" w:rsidRDefault="00EC53F6" w:rsidP="00CC29E7">
      <w:pPr>
        <w:pStyle w:val="FootnoteText"/>
        <w:rPr>
          <w:sz w:val="20"/>
          <w:szCs w:val="20"/>
        </w:rPr>
      </w:pPr>
      <w:r w:rsidRPr="00EB33D9">
        <w:rPr>
          <w:rStyle w:val="FootnoteReference"/>
          <w:sz w:val="20"/>
          <w:szCs w:val="20"/>
        </w:rPr>
        <w:footnoteRef/>
      </w:r>
      <w:r w:rsidRPr="00EB33D9">
        <w:rPr>
          <w:sz w:val="20"/>
          <w:szCs w:val="20"/>
        </w:rPr>
        <w:t xml:space="preserve"> See </w:t>
      </w:r>
      <w:r w:rsidRPr="00EB33D9">
        <w:rPr>
          <w:b/>
          <w:i/>
          <w:sz w:val="20"/>
          <w:szCs w:val="20"/>
        </w:rPr>
        <w:t>Creative Management in the Arts and Heritage: Sustaining and Renewing Professional Management for the 21</w:t>
      </w:r>
      <w:r w:rsidRPr="00EB33D9">
        <w:rPr>
          <w:b/>
          <w:i/>
          <w:sz w:val="20"/>
          <w:szCs w:val="20"/>
          <w:vertAlign w:val="superscript"/>
        </w:rPr>
        <w:t>st</w:t>
      </w:r>
      <w:r w:rsidRPr="00EB33D9">
        <w:rPr>
          <w:b/>
          <w:i/>
          <w:sz w:val="20"/>
          <w:szCs w:val="20"/>
        </w:rPr>
        <w:t xml:space="preserve"> Century – A Proposed Action Plan for Creating Winning Conditions, </w:t>
      </w:r>
      <w:r w:rsidRPr="00EB33D9">
        <w:rPr>
          <w:sz w:val="20"/>
          <w:szCs w:val="20"/>
        </w:rPr>
        <w:t>Jocelyn Harvey, 2003 at 21</w:t>
      </w:r>
    </w:p>
  </w:footnote>
  <w:footnote w:id="7">
    <w:p w:rsidR="00EC53F6" w:rsidRPr="00450B26" w:rsidRDefault="00EC53F6" w:rsidP="00AE6101">
      <w:pPr>
        <w:pStyle w:val="FootnoteText"/>
        <w:rPr>
          <w:b/>
          <w:i/>
          <w:sz w:val="20"/>
        </w:rPr>
      </w:pPr>
      <w:r>
        <w:rPr>
          <w:rStyle w:val="FootnoteReference"/>
        </w:rPr>
        <w:footnoteRef/>
      </w:r>
      <w:r>
        <w:rPr>
          <w:sz w:val="20"/>
        </w:rPr>
        <w:t xml:space="preserve">See Alain Belanger and Eric Caron Malenfant </w:t>
      </w:r>
      <w:r>
        <w:rPr>
          <w:b/>
          <w:i/>
          <w:sz w:val="20"/>
        </w:rPr>
        <w:t>Ethnocultural Diversity in Canada: Prospects for 2017</w:t>
      </w:r>
      <w:r>
        <w:rPr>
          <w:sz w:val="20"/>
        </w:rPr>
        <w:t xml:space="preserve">, and, Krishna Pendakur </w:t>
      </w:r>
      <w:r>
        <w:rPr>
          <w:b/>
          <w:i/>
          <w:sz w:val="20"/>
        </w:rPr>
        <w:t>Visible Minorities in Canada’s Workplaces: A Perspective on the 2017 Projection</w:t>
      </w:r>
    </w:p>
  </w:footnote>
  <w:footnote w:id="8">
    <w:p w:rsidR="00EC53F6" w:rsidRDefault="00EC53F6" w:rsidP="00AE6101">
      <w:pPr>
        <w:pStyle w:val="CommentText"/>
      </w:pPr>
      <w:r>
        <w:rPr>
          <w:rStyle w:val="FootnoteReference"/>
        </w:rPr>
        <w:footnoteRef/>
      </w:r>
      <w:r>
        <w:t xml:space="preserve"> See  </w:t>
      </w:r>
      <w:r>
        <w:rPr>
          <w:b/>
          <w:i/>
        </w:rPr>
        <w:t>Arts Fact Sheet Series: Cultural Diversity – Our Regenerative Strength in the 21</w:t>
      </w:r>
      <w:r w:rsidRPr="00E16417">
        <w:rPr>
          <w:b/>
          <w:i/>
          <w:vertAlign w:val="superscript"/>
        </w:rPr>
        <w:t>st</w:t>
      </w:r>
      <w:r>
        <w:rPr>
          <w:b/>
          <w:i/>
        </w:rPr>
        <w:t xml:space="preserve"> Century, </w:t>
      </w:r>
      <w:r>
        <w:t>Sharon Fernandez, May 2006, unpaginated, from “</w:t>
      </w:r>
      <w:r w:rsidRPr="00325FF1">
        <w:t>Study: Canada's visible minority population in 2017</w:t>
      </w:r>
      <w:r>
        <w:t>” from 2005</w:t>
      </w:r>
    </w:p>
    <w:p w:rsidR="00EC53F6" w:rsidRPr="00C675BB" w:rsidRDefault="00EC53F6" w:rsidP="00641A67">
      <w:pPr>
        <w:pStyle w:val="CommentText"/>
      </w:pPr>
      <w:r w:rsidRPr="00325FF1">
        <w:t>http://www.statcan.gc.ca/daily-quotidien/050322/dq050322b-eng.htm</w:t>
      </w:r>
    </w:p>
  </w:footnote>
  <w:footnote w:id="9">
    <w:p w:rsidR="00EC53F6" w:rsidRPr="00DD4311" w:rsidRDefault="00EC53F6" w:rsidP="00AE6101">
      <w:pPr>
        <w:pStyle w:val="FootnoteText"/>
        <w:rPr>
          <w:sz w:val="20"/>
          <w:szCs w:val="20"/>
        </w:rPr>
      </w:pPr>
      <w:r>
        <w:rPr>
          <w:rStyle w:val="FootnoteReference"/>
        </w:rPr>
        <w:footnoteRef/>
      </w:r>
      <w:r>
        <w:rPr>
          <w:b/>
          <w:i/>
          <w:sz w:val="20"/>
          <w:szCs w:val="20"/>
        </w:rPr>
        <w:t xml:space="preserve">Projections of the Diversity of the Canadian Population, 2006 to 2031, </w:t>
      </w:r>
      <w:r>
        <w:rPr>
          <w:sz w:val="20"/>
          <w:szCs w:val="20"/>
        </w:rPr>
        <w:t>Statistics Canada 2010 at 1-2</w:t>
      </w:r>
    </w:p>
  </w:footnote>
  <w:footnote w:id="10">
    <w:p w:rsidR="00EC53F6" w:rsidRPr="00501B78" w:rsidRDefault="00EC53F6" w:rsidP="00EC53F6">
      <w:pPr>
        <w:pStyle w:val="FootnoteText"/>
        <w:rPr>
          <w:sz w:val="20"/>
          <w:szCs w:val="20"/>
        </w:rPr>
      </w:pPr>
      <w:r w:rsidRPr="00501B78">
        <w:rPr>
          <w:rStyle w:val="FootnoteReference"/>
          <w:sz w:val="20"/>
          <w:szCs w:val="20"/>
        </w:rPr>
        <w:footnoteRef/>
      </w:r>
      <w:r w:rsidRPr="00501B78">
        <w:rPr>
          <w:sz w:val="20"/>
          <w:szCs w:val="20"/>
        </w:rPr>
        <w:t xml:space="preserve"> See Ontario Ministry of Finance </w:t>
      </w:r>
      <w:r w:rsidRPr="00501B78">
        <w:rPr>
          <w:b/>
          <w:i/>
          <w:sz w:val="20"/>
          <w:szCs w:val="20"/>
        </w:rPr>
        <w:t xml:space="preserve">Census 2001 Highlights: FactSheet 6: Visible Minorities and Ethnicity in Ontario, </w:t>
      </w:r>
      <w:r w:rsidRPr="00501B78">
        <w:rPr>
          <w:sz w:val="20"/>
          <w:szCs w:val="20"/>
        </w:rPr>
        <w:t>1-2</w:t>
      </w:r>
    </w:p>
  </w:footnote>
  <w:footnote w:id="11">
    <w:p w:rsidR="00EC53F6" w:rsidRPr="00501B78" w:rsidRDefault="00EC53F6" w:rsidP="00EC53F6">
      <w:pPr>
        <w:pStyle w:val="FootnoteText"/>
        <w:rPr>
          <w:sz w:val="20"/>
          <w:szCs w:val="20"/>
        </w:rPr>
      </w:pPr>
      <w:r w:rsidRPr="00501B78">
        <w:rPr>
          <w:rStyle w:val="FootnoteReference"/>
          <w:sz w:val="20"/>
          <w:szCs w:val="20"/>
        </w:rPr>
        <w:footnoteRef/>
      </w:r>
      <w:r w:rsidRPr="00501B78">
        <w:rPr>
          <w:sz w:val="20"/>
          <w:szCs w:val="20"/>
        </w:rPr>
        <w:t xml:space="preserve"> Ibid at 5</w:t>
      </w:r>
    </w:p>
  </w:footnote>
  <w:footnote w:id="12">
    <w:p w:rsidR="00EC53F6" w:rsidRPr="00501B78" w:rsidRDefault="00EC53F6" w:rsidP="00EC53F6">
      <w:pPr>
        <w:pStyle w:val="FootnoteText"/>
        <w:rPr>
          <w:b/>
          <w:i/>
          <w:sz w:val="20"/>
          <w:szCs w:val="20"/>
        </w:rPr>
      </w:pPr>
      <w:r w:rsidRPr="00501B78">
        <w:rPr>
          <w:rStyle w:val="FootnoteReference"/>
          <w:sz w:val="20"/>
          <w:szCs w:val="20"/>
        </w:rPr>
        <w:footnoteRef/>
      </w:r>
      <w:r w:rsidRPr="00501B78">
        <w:rPr>
          <w:b/>
          <w:i/>
          <w:sz w:val="20"/>
          <w:szCs w:val="20"/>
        </w:rPr>
        <w:t>Your Communities in Profile: Ontario 2008</w:t>
      </w:r>
    </w:p>
  </w:footnote>
  <w:footnote w:id="13">
    <w:p w:rsidR="00EC53F6" w:rsidRPr="007B34D6" w:rsidRDefault="00EC53F6" w:rsidP="00EC53F6">
      <w:pPr>
        <w:pStyle w:val="FootnoteText"/>
        <w:rPr>
          <w:sz w:val="20"/>
          <w:szCs w:val="20"/>
        </w:rPr>
      </w:pPr>
      <w:r w:rsidRPr="00501B78">
        <w:rPr>
          <w:rStyle w:val="FootnoteReference"/>
          <w:sz w:val="20"/>
          <w:szCs w:val="20"/>
        </w:rPr>
        <w:footnoteRef/>
      </w:r>
      <w:r w:rsidRPr="00501B78">
        <w:rPr>
          <w:sz w:val="20"/>
          <w:szCs w:val="20"/>
        </w:rPr>
        <w:t xml:space="preserve"> Ibid 18</w:t>
      </w:r>
    </w:p>
  </w:footnote>
  <w:footnote w:id="14">
    <w:p w:rsidR="00EC53F6" w:rsidRPr="00501B78" w:rsidRDefault="00EC53F6" w:rsidP="00EC53F6">
      <w:pPr>
        <w:pStyle w:val="FootnoteText"/>
        <w:rPr>
          <w:sz w:val="20"/>
          <w:szCs w:val="20"/>
        </w:rPr>
      </w:pPr>
      <w:r w:rsidRPr="00501B78">
        <w:rPr>
          <w:rStyle w:val="FootnoteReference"/>
          <w:sz w:val="20"/>
          <w:szCs w:val="20"/>
        </w:rPr>
        <w:footnoteRef/>
      </w:r>
      <w:r w:rsidRPr="00501B78">
        <w:rPr>
          <w:sz w:val="20"/>
          <w:szCs w:val="20"/>
        </w:rPr>
        <w:t xml:space="preserve"> Ibid 20</w:t>
      </w:r>
    </w:p>
  </w:footnote>
  <w:footnote w:id="15">
    <w:p w:rsidR="00EC53F6" w:rsidRPr="00501B78" w:rsidRDefault="00EC53F6" w:rsidP="00EC53F6">
      <w:pPr>
        <w:pStyle w:val="FootnoteText"/>
        <w:rPr>
          <w:sz w:val="20"/>
          <w:szCs w:val="20"/>
        </w:rPr>
      </w:pPr>
      <w:r w:rsidRPr="00501B78">
        <w:rPr>
          <w:rStyle w:val="FootnoteReference"/>
          <w:sz w:val="20"/>
          <w:szCs w:val="20"/>
        </w:rPr>
        <w:footnoteRef/>
      </w:r>
      <w:r w:rsidRPr="00501B78">
        <w:rPr>
          <w:sz w:val="20"/>
          <w:szCs w:val="20"/>
        </w:rPr>
        <w:t xml:space="preserve"> Ibid 24</w:t>
      </w:r>
    </w:p>
  </w:footnote>
  <w:footnote w:id="16">
    <w:p w:rsidR="00EC53F6" w:rsidRDefault="00EC53F6" w:rsidP="00EC53F6">
      <w:pPr>
        <w:pStyle w:val="FootnoteText"/>
      </w:pPr>
      <w:r w:rsidRPr="00501B78">
        <w:rPr>
          <w:rStyle w:val="FootnoteReference"/>
          <w:sz w:val="20"/>
          <w:szCs w:val="20"/>
        </w:rPr>
        <w:footnoteRef/>
      </w:r>
      <w:r w:rsidRPr="00501B78">
        <w:rPr>
          <w:sz w:val="20"/>
          <w:szCs w:val="20"/>
        </w:rPr>
        <w:t xml:space="preserve"> See </w:t>
      </w:r>
      <w:r w:rsidRPr="00501B78">
        <w:rPr>
          <w:b/>
          <w:i/>
          <w:sz w:val="20"/>
          <w:szCs w:val="20"/>
        </w:rPr>
        <w:t xml:space="preserve">Participation and Activity Limitation Survey 2006: Analytical Report, </w:t>
      </w:r>
      <w:r w:rsidRPr="00501B78">
        <w:rPr>
          <w:sz w:val="20"/>
          <w:szCs w:val="20"/>
        </w:rPr>
        <w:t>Statistics Canada 2006 at 16</w:t>
      </w:r>
    </w:p>
  </w:footnote>
  <w:footnote w:id="17">
    <w:p w:rsidR="00EC53F6" w:rsidRPr="003D0D30" w:rsidRDefault="00EC53F6" w:rsidP="00AE6101">
      <w:pPr>
        <w:pStyle w:val="FootnoteText"/>
        <w:rPr>
          <w:sz w:val="20"/>
          <w:szCs w:val="20"/>
        </w:rPr>
      </w:pPr>
      <w:r>
        <w:rPr>
          <w:rStyle w:val="FootnoteReference"/>
        </w:rPr>
        <w:footnoteRef/>
      </w:r>
      <w:r>
        <w:rPr>
          <w:sz w:val="20"/>
          <w:szCs w:val="20"/>
        </w:rPr>
        <w:t xml:space="preserve">See </w:t>
      </w:r>
      <w:r>
        <w:rPr>
          <w:b/>
          <w:i/>
          <w:sz w:val="20"/>
          <w:szCs w:val="20"/>
        </w:rPr>
        <w:t xml:space="preserve">Canada’s Colour Coded Labour Market: The gap for racialized workers, </w:t>
      </w:r>
      <w:r>
        <w:rPr>
          <w:sz w:val="20"/>
          <w:szCs w:val="20"/>
        </w:rPr>
        <w:t>Sheila Block and Grace-Edward Galabuzzi, 2011</w:t>
      </w:r>
    </w:p>
  </w:footnote>
  <w:footnote w:id="18">
    <w:p w:rsidR="00EC53F6" w:rsidRPr="00A46E0C" w:rsidRDefault="00EC53F6" w:rsidP="00AE6101">
      <w:pPr>
        <w:pStyle w:val="FootnoteText"/>
        <w:rPr>
          <w:sz w:val="20"/>
          <w:szCs w:val="20"/>
        </w:rPr>
      </w:pPr>
      <w:r>
        <w:rPr>
          <w:rStyle w:val="FootnoteReference"/>
        </w:rPr>
        <w:footnoteRef/>
      </w:r>
      <w:r>
        <w:rPr>
          <w:sz w:val="20"/>
          <w:szCs w:val="20"/>
        </w:rPr>
        <w:t>Ibid 3-4</w:t>
      </w:r>
    </w:p>
  </w:footnote>
  <w:footnote w:id="19">
    <w:p w:rsidR="00EC53F6" w:rsidRPr="00A46E0C" w:rsidRDefault="00EC53F6" w:rsidP="00AE6101">
      <w:pPr>
        <w:pStyle w:val="FootnoteText"/>
        <w:rPr>
          <w:sz w:val="20"/>
          <w:szCs w:val="20"/>
        </w:rPr>
      </w:pPr>
      <w:r>
        <w:rPr>
          <w:rStyle w:val="FootnoteReference"/>
        </w:rPr>
        <w:footnoteRef/>
      </w:r>
      <w:r>
        <w:rPr>
          <w:sz w:val="20"/>
          <w:szCs w:val="20"/>
        </w:rPr>
        <w:t>Ibid at 9-10</w:t>
      </w:r>
    </w:p>
  </w:footnote>
  <w:footnote w:id="20">
    <w:p w:rsidR="00EC53F6" w:rsidRPr="00961B52" w:rsidRDefault="00EC53F6" w:rsidP="00AE6101">
      <w:pPr>
        <w:pStyle w:val="FootnoteText"/>
        <w:rPr>
          <w:sz w:val="20"/>
          <w:szCs w:val="20"/>
        </w:rPr>
      </w:pPr>
      <w:r>
        <w:rPr>
          <w:rStyle w:val="FootnoteReference"/>
        </w:rPr>
        <w:footnoteRef/>
      </w:r>
      <w:r>
        <w:rPr>
          <w:sz w:val="20"/>
          <w:szCs w:val="20"/>
        </w:rPr>
        <w:t>Ibid at 12</w:t>
      </w:r>
    </w:p>
  </w:footnote>
  <w:footnote w:id="21">
    <w:p w:rsidR="00EC53F6" w:rsidRPr="00D527D7" w:rsidRDefault="00EC53F6" w:rsidP="00AE6101">
      <w:pPr>
        <w:pStyle w:val="FootnoteText"/>
        <w:rPr>
          <w:sz w:val="20"/>
          <w:szCs w:val="20"/>
        </w:rPr>
      </w:pPr>
      <w:r w:rsidRPr="00D527D7">
        <w:rPr>
          <w:rStyle w:val="FootnoteReference"/>
          <w:sz w:val="20"/>
          <w:szCs w:val="20"/>
        </w:rPr>
        <w:footnoteRef/>
      </w:r>
      <w:r w:rsidRPr="00D527D7">
        <w:rPr>
          <w:sz w:val="20"/>
          <w:szCs w:val="20"/>
        </w:rPr>
        <w:t xml:space="preserve"> Ibid at 13</w:t>
      </w:r>
    </w:p>
  </w:footnote>
  <w:footnote w:id="22">
    <w:p w:rsidR="00EC53F6" w:rsidRPr="00D527D7" w:rsidRDefault="00EC53F6" w:rsidP="00AE6101">
      <w:pPr>
        <w:pStyle w:val="FootnoteText"/>
        <w:rPr>
          <w:sz w:val="20"/>
          <w:szCs w:val="20"/>
        </w:rPr>
      </w:pPr>
      <w:r w:rsidRPr="00D527D7">
        <w:rPr>
          <w:rStyle w:val="FootnoteReference"/>
          <w:sz w:val="20"/>
          <w:szCs w:val="20"/>
        </w:rPr>
        <w:footnoteRef/>
      </w:r>
      <w:r w:rsidRPr="00D527D7">
        <w:rPr>
          <w:sz w:val="20"/>
          <w:szCs w:val="20"/>
        </w:rPr>
        <w:t xml:space="preserve"> Ibid at 15</w:t>
      </w:r>
    </w:p>
  </w:footnote>
  <w:footnote w:id="23">
    <w:p w:rsidR="00EC53F6" w:rsidRPr="00325FF1" w:rsidRDefault="00EC53F6" w:rsidP="00AE6101">
      <w:pPr>
        <w:pStyle w:val="FootnoteText"/>
        <w:rPr>
          <w:sz w:val="20"/>
          <w:szCs w:val="20"/>
        </w:rPr>
      </w:pPr>
      <w:r w:rsidRPr="00325FF1">
        <w:rPr>
          <w:rStyle w:val="FootnoteReference"/>
          <w:sz w:val="20"/>
          <w:szCs w:val="20"/>
        </w:rPr>
        <w:footnoteRef/>
      </w:r>
      <w:r w:rsidRPr="00325FF1">
        <w:rPr>
          <w:i/>
          <w:sz w:val="20"/>
          <w:szCs w:val="20"/>
        </w:rPr>
        <w:t>Statistical Insights on the arts, Vol. 3 No.3,</w:t>
      </w:r>
      <w:r w:rsidRPr="00325FF1">
        <w:rPr>
          <w:sz w:val="20"/>
          <w:szCs w:val="20"/>
        </w:rPr>
        <w:t>February 2005</w:t>
      </w:r>
    </w:p>
  </w:footnote>
  <w:footnote w:id="24">
    <w:p w:rsidR="00EC53F6" w:rsidRPr="001A179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at 1</w:t>
      </w:r>
    </w:p>
  </w:footnote>
  <w:footnote w:id="25">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at 1-3</w:t>
      </w:r>
    </w:p>
  </w:footnote>
  <w:footnote w:id="26">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4</w:t>
      </w:r>
    </w:p>
  </w:footnote>
  <w:footnote w:id="27">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4</w:t>
      </w:r>
    </w:p>
  </w:footnote>
  <w:footnote w:id="28">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7</w:t>
      </w:r>
    </w:p>
  </w:footnote>
  <w:footnote w:id="29">
    <w:p w:rsidR="00EC53F6" w:rsidRPr="00495E1C"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8</w:t>
      </w:r>
    </w:p>
  </w:footnote>
  <w:footnote w:id="30">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2-13</w:t>
      </w:r>
    </w:p>
  </w:footnote>
  <w:footnote w:id="31">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14</w:t>
      </w:r>
    </w:p>
  </w:footnote>
  <w:footnote w:id="32">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18</w:t>
      </w:r>
    </w:p>
  </w:footnote>
  <w:footnote w:id="33">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at 17-18</w:t>
      </w:r>
    </w:p>
  </w:footnote>
  <w:footnote w:id="34">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19</w:t>
      </w:r>
    </w:p>
  </w:footnote>
  <w:footnote w:id="35">
    <w:p w:rsidR="00EC53F6" w:rsidRPr="00325FF1" w:rsidRDefault="00EC53F6" w:rsidP="00797700">
      <w:pPr>
        <w:pStyle w:val="FootnoteText"/>
        <w:rPr>
          <w:sz w:val="20"/>
          <w:szCs w:val="20"/>
        </w:rPr>
      </w:pPr>
      <w:r w:rsidRPr="00325FF1">
        <w:rPr>
          <w:rStyle w:val="FootnoteReference"/>
          <w:sz w:val="20"/>
          <w:szCs w:val="20"/>
        </w:rPr>
        <w:footnoteRef/>
      </w:r>
      <w:r w:rsidRPr="00325FF1">
        <w:rPr>
          <w:sz w:val="20"/>
          <w:szCs w:val="20"/>
        </w:rPr>
        <w:t xml:space="preserve"> See </w:t>
      </w:r>
      <w:r w:rsidRPr="00325FF1">
        <w:rPr>
          <w:b/>
          <w:i/>
          <w:sz w:val="20"/>
          <w:szCs w:val="20"/>
        </w:rPr>
        <w:t xml:space="preserve">A Statistical Profile of Artists in Canada – Based on the 2006 Census, </w:t>
      </w:r>
      <w:r w:rsidRPr="00325FF1">
        <w:rPr>
          <w:sz w:val="20"/>
          <w:szCs w:val="20"/>
        </w:rPr>
        <w:t>Hill Strategies, 2009</w:t>
      </w:r>
    </w:p>
  </w:footnote>
  <w:footnote w:id="36">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at 18</w:t>
      </w:r>
    </w:p>
  </w:footnote>
  <w:footnote w:id="37">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at 19</w:t>
      </w:r>
    </w:p>
  </w:footnote>
  <w:footnote w:id="38">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at 20-21</w:t>
      </w:r>
    </w:p>
  </w:footnote>
  <w:footnote w:id="39">
    <w:p w:rsidR="00EC53F6" w:rsidRPr="00377022" w:rsidRDefault="00EC53F6" w:rsidP="00AE6101">
      <w:pPr>
        <w:pStyle w:val="FootnoteText"/>
        <w:rPr>
          <w:sz w:val="20"/>
          <w:szCs w:val="20"/>
        </w:rPr>
      </w:pPr>
      <w:r>
        <w:rPr>
          <w:rStyle w:val="FootnoteReference"/>
        </w:rPr>
        <w:footnoteRef/>
      </w:r>
      <w:r>
        <w:rPr>
          <w:sz w:val="20"/>
          <w:szCs w:val="20"/>
        </w:rPr>
        <w:t>Ibid at 22</w:t>
      </w:r>
    </w:p>
  </w:footnote>
  <w:footnote w:id="40">
    <w:p w:rsidR="00EC53F6" w:rsidRPr="00325FF1" w:rsidRDefault="00EC53F6" w:rsidP="00AE6101">
      <w:pPr>
        <w:pStyle w:val="FootnoteText"/>
        <w:rPr>
          <w:sz w:val="20"/>
          <w:szCs w:val="20"/>
        </w:rPr>
      </w:pPr>
      <w:r w:rsidRPr="00325FF1">
        <w:rPr>
          <w:rStyle w:val="FootnoteReference"/>
          <w:sz w:val="20"/>
          <w:szCs w:val="20"/>
        </w:rPr>
        <w:footnoteRef/>
      </w:r>
      <w:r w:rsidRPr="00325FF1">
        <w:rPr>
          <w:sz w:val="20"/>
          <w:szCs w:val="20"/>
        </w:rPr>
        <w:t xml:space="preserve">  Ibid at 36</w:t>
      </w:r>
    </w:p>
  </w:footnote>
  <w:footnote w:id="41">
    <w:p w:rsidR="00EC53F6" w:rsidRPr="00A36E8C" w:rsidRDefault="00EC53F6" w:rsidP="00AE6101">
      <w:pPr>
        <w:widowControl w:val="0"/>
        <w:autoSpaceDE w:val="0"/>
        <w:autoSpaceDN w:val="0"/>
        <w:adjustRightInd w:val="0"/>
        <w:rPr>
          <w:b/>
          <w:i/>
          <w:sz w:val="20"/>
          <w:szCs w:val="20"/>
          <w:lang w:eastAsia="ja-JP"/>
        </w:rPr>
      </w:pPr>
      <w:r>
        <w:rPr>
          <w:rStyle w:val="FootnoteReference"/>
        </w:rPr>
        <w:footnoteRef/>
      </w:r>
      <w:r>
        <w:rPr>
          <w:sz w:val="20"/>
          <w:szCs w:val="20"/>
        </w:rPr>
        <w:t xml:space="preserve">See Natasha Bakht </w:t>
      </w:r>
      <w:r>
        <w:rPr>
          <w:b/>
          <w:i/>
          <w:sz w:val="20"/>
          <w:szCs w:val="20"/>
        </w:rPr>
        <w:t xml:space="preserve">Mere Song and Dance: Multicultural Imperative in the Arts.  </w:t>
      </w:r>
      <w:r>
        <w:rPr>
          <w:sz w:val="20"/>
          <w:szCs w:val="20"/>
        </w:rPr>
        <w:t xml:space="preserve">This paper was first presented in 2009 at the Canada Dance Festival and then has been published by Between the Lines Press  in </w:t>
      </w:r>
      <w:r w:rsidRPr="005D4A16">
        <w:rPr>
          <w:b/>
          <w:i/>
          <w:sz w:val="20"/>
          <w:szCs w:val="20"/>
          <w:lang w:eastAsia="ja-JP"/>
        </w:rPr>
        <w:t xml:space="preserve">Unsettling Multiculturalism: Lands, Labours, Bodies, </w:t>
      </w:r>
      <w:r w:rsidRPr="005D4A16">
        <w:rPr>
          <w:sz w:val="20"/>
          <w:szCs w:val="20"/>
          <w:lang w:eastAsia="ja-JP"/>
        </w:rPr>
        <w:t>May Chazan, Lisa Helps, Anna Stanley, And Sonali Thakkar, (Eds.),</w:t>
      </w:r>
      <w:r w:rsidRPr="005D4A16">
        <w:rPr>
          <w:b/>
          <w:i/>
          <w:sz w:val="20"/>
          <w:szCs w:val="20"/>
          <w:lang w:eastAsia="ja-JP"/>
        </w:rPr>
        <w:t xml:space="preserve"> ,</w:t>
      </w:r>
      <w:r>
        <w:rPr>
          <w:sz w:val="20"/>
          <w:szCs w:val="20"/>
        </w:rPr>
        <w:t xml:space="preserve"> (2011) and is forthcoming in </w:t>
      </w:r>
      <w:r>
        <w:rPr>
          <w:b/>
          <w:i/>
          <w:sz w:val="20"/>
          <w:szCs w:val="20"/>
        </w:rPr>
        <w:t xml:space="preserve">Pluralism in the Arts In Canada: A Change is Gonna Come, </w:t>
      </w:r>
      <w:r>
        <w:rPr>
          <w:sz w:val="20"/>
          <w:szCs w:val="20"/>
        </w:rPr>
        <w:t xml:space="preserve">compiled, written and edited by charles c. smith for the Canadian Centre for Policy Alternatives.  See also Kevin A. Ormsby </w:t>
      </w:r>
      <w:r w:rsidRPr="00A36E8C">
        <w:rPr>
          <w:b/>
          <w:i/>
          <w:sz w:val="20"/>
          <w:szCs w:val="20"/>
          <w:lang w:eastAsia="ja-JP"/>
        </w:rPr>
        <w:t>Between Generations Towards Understanding the Difference in Realities and Aspirations of the First and Second</w:t>
      </w:r>
    </w:p>
    <w:p w:rsidR="00EC53F6" w:rsidRPr="00A36E8C" w:rsidRDefault="00EC53F6" w:rsidP="00AE6101">
      <w:pPr>
        <w:widowControl w:val="0"/>
        <w:autoSpaceDE w:val="0"/>
        <w:autoSpaceDN w:val="0"/>
        <w:adjustRightInd w:val="0"/>
        <w:rPr>
          <w:b/>
          <w:i/>
          <w:sz w:val="20"/>
          <w:szCs w:val="20"/>
          <w:lang w:eastAsia="ja-JP"/>
        </w:rPr>
      </w:pPr>
      <w:r w:rsidRPr="00A36E8C">
        <w:rPr>
          <w:b/>
          <w:i/>
          <w:sz w:val="20"/>
          <w:szCs w:val="20"/>
          <w:lang w:eastAsia="ja-JP"/>
        </w:rPr>
        <w:t>Generation of Culturally Diverse Artists</w:t>
      </w:r>
      <w:r>
        <w:rPr>
          <w:sz w:val="20"/>
          <w:szCs w:val="20"/>
          <w:lang w:eastAsia="ja-JP"/>
        </w:rPr>
        <w:t xml:space="preserve">, and, George Elliot Clarke </w:t>
      </w:r>
      <w:r w:rsidRPr="00A36E8C">
        <w:rPr>
          <w:b/>
          <w:i/>
          <w:sz w:val="20"/>
          <w:szCs w:val="20"/>
          <w:lang w:eastAsia="ja-JP"/>
        </w:rPr>
        <w:t>The Stage Is Not White —</w:t>
      </w:r>
    </w:p>
    <w:p w:rsidR="00EC53F6" w:rsidRPr="00A36E8C" w:rsidRDefault="00EC53F6" w:rsidP="00AE6101">
      <w:pPr>
        <w:pStyle w:val="FootnoteText"/>
        <w:rPr>
          <w:b/>
          <w:sz w:val="20"/>
          <w:szCs w:val="20"/>
        </w:rPr>
      </w:pPr>
      <w:r w:rsidRPr="00A36E8C">
        <w:rPr>
          <w:b/>
          <w:i/>
          <w:sz w:val="20"/>
          <w:szCs w:val="20"/>
          <w:lang w:eastAsia="ja-JP"/>
        </w:rPr>
        <w:t>And Neither Is Canada</w:t>
      </w:r>
      <w:r>
        <w:rPr>
          <w:sz w:val="20"/>
          <w:szCs w:val="20"/>
        </w:rPr>
        <w:t xml:space="preserve">forthcoming in </w:t>
      </w:r>
      <w:r>
        <w:rPr>
          <w:b/>
          <w:i/>
          <w:sz w:val="20"/>
          <w:szCs w:val="20"/>
        </w:rPr>
        <w:t xml:space="preserve">Pluralism in the Arts In Canada: A Change is Gonna Come, </w:t>
      </w:r>
      <w:r>
        <w:rPr>
          <w:sz w:val="20"/>
          <w:szCs w:val="20"/>
        </w:rPr>
        <w:t>compiled, written and edited by charles c. smith for the Canadian Centre for Policy Alternatives</w:t>
      </w:r>
    </w:p>
  </w:footnote>
  <w:footnote w:id="42">
    <w:p w:rsidR="00EC53F6" w:rsidRPr="00344F92" w:rsidRDefault="00EC53F6" w:rsidP="00AE6101">
      <w:pPr>
        <w:pStyle w:val="FootnoteText"/>
        <w:rPr>
          <w:b/>
          <w:i/>
          <w:sz w:val="20"/>
          <w:szCs w:val="20"/>
        </w:rPr>
      </w:pPr>
      <w:r w:rsidRPr="00344F92">
        <w:rPr>
          <w:rStyle w:val="FootnoteReference"/>
          <w:sz w:val="20"/>
          <w:szCs w:val="20"/>
        </w:rPr>
        <w:footnoteRef/>
      </w:r>
      <w:r w:rsidRPr="00344F92">
        <w:rPr>
          <w:sz w:val="20"/>
          <w:szCs w:val="20"/>
        </w:rPr>
        <w:t xml:space="preserve"> For a more in-depth discussion on this issue, see Cornell West </w:t>
      </w:r>
      <w:r w:rsidRPr="00344F92">
        <w:rPr>
          <w:b/>
          <w:i/>
          <w:sz w:val="20"/>
          <w:szCs w:val="20"/>
        </w:rPr>
        <w:t>The New Cultural Politics of Difference</w:t>
      </w:r>
      <w:r>
        <w:rPr>
          <w:b/>
          <w:i/>
          <w:sz w:val="20"/>
          <w:szCs w:val="20"/>
        </w:rPr>
        <w:t>(1990)</w:t>
      </w:r>
      <w:r w:rsidRPr="00344F92">
        <w:rPr>
          <w:b/>
          <w:i/>
          <w:sz w:val="20"/>
          <w:szCs w:val="20"/>
        </w:rPr>
        <w:t xml:space="preserve">, </w:t>
      </w:r>
      <w:r w:rsidRPr="00344F92">
        <w:rPr>
          <w:sz w:val="20"/>
          <w:szCs w:val="20"/>
        </w:rPr>
        <w:t xml:space="preserve">Homhi Bhabha </w:t>
      </w:r>
      <w:r w:rsidRPr="00344F92">
        <w:rPr>
          <w:b/>
          <w:i/>
          <w:sz w:val="20"/>
          <w:szCs w:val="20"/>
        </w:rPr>
        <w:t>The Location of Culture</w:t>
      </w:r>
      <w:r>
        <w:rPr>
          <w:b/>
          <w:i/>
          <w:sz w:val="20"/>
          <w:szCs w:val="20"/>
        </w:rPr>
        <w:t xml:space="preserve"> (1994)</w:t>
      </w:r>
      <w:r w:rsidRPr="00344F92">
        <w:rPr>
          <w:b/>
          <w:i/>
          <w:sz w:val="20"/>
          <w:szCs w:val="20"/>
        </w:rPr>
        <w:t xml:space="preserve">, </w:t>
      </w:r>
      <w:r w:rsidRPr="00344F92">
        <w:rPr>
          <w:sz w:val="20"/>
          <w:szCs w:val="20"/>
        </w:rPr>
        <w:t xml:space="preserve">Frances Henry and Carol Tator </w:t>
      </w:r>
      <w:r w:rsidRPr="00344F92">
        <w:rPr>
          <w:b/>
          <w:i/>
          <w:sz w:val="20"/>
          <w:szCs w:val="20"/>
        </w:rPr>
        <w:t>Challenging Racism in the Arts</w:t>
      </w:r>
      <w:r>
        <w:rPr>
          <w:b/>
          <w:i/>
          <w:sz w:val="20"/>
          <w:szCs w:val="20"/>
        </w:rPr>
        <w:t xml:space="preserve"> (1998)</w:t>
      </w:r>
      <w:r w:rsidRPr="00344F92">
        <w:rPr>
          <w:b/>
          <w:i/>
          <w:sz w:val="20"/>
          <w:szCs w:val="20"/>
        </w:rPr>
        <w:t xml:space="preserve">, </w:t>
      </w:r>
      <w:r w:rsidRPr="00344F92">
        <w:rPr>
          <w:sz w:val="20"/>
          <w:szCs w:val="20"/>
        </w:rPr>
        <w:t xml:space="preserve">Althea Prince </w:t>
      </w:r>
      <w:r>
        <w:rPr>
          <w:b/>
          <w:i/>
          <w:sz w:val="20"/>
          <w:szCs w:val="20"/>
        </w:rPr>
        <w:t>Being Black (2005)</w:t>
      </w:r>
      <w:r w:rsidRPr="00344F92">
        <w:rPr>
          <w:b/>
          <w:i/>
          <w:sz w:val="20"/>
          <w:szCs w:val="20"/>
        </w:rPr>
        <w:t xml:space="preserve">, </w:t>
      </w:r>
      <w:r w:rsidRPr="00344F92">
        <w:rPr>
          <w:sz w:val="20"/>
          <w:szCs w:val="20"/>
        </w:rPr>
        <w:t xml:space="preserve">Michael M. Ames  </w:t>
      </w:r>
      <w:r w:rsidRPr="00344F92">
        <w:rPr>
          <w:b/>
          <w:i/>
          <w:sz w:val="20"/>
          <w:szCs w:val="20"/>
        </w:rPr>
        <w:t>Cannibal</w:t>
      </w:r>
      <w:r>
        <w:rPr>
          <w:b/>
          <w:i/>
          <w:sz w:val="20"/>
          <w:szCs w:val="20"/>
        </w:rPr>
        <w:t xml:space="preserve"> Tours</w:t>
      </w:r>
      <w:r w:rsidRPr="00344F92">
        <w:rPr>
          <w:b/>
          <w:i/>
          <w:sz w:val="20"/>
          <w:szCs w:val="20"/>
        </w:rPr>
        <w:t xml:space="preserve"> and Glass Boxes</w:t>
      </w:r>
      <w:r>
        <w:rPr>
          <w:b/>
          <w:i/>
          <w:sz w:val="20"/>
          <w:szCs w:val="20"/>
        </w:rPr>
        <w:t>: the Anthropology of Museums (1992)</w:t>
      </w:r>
      <w:r w:rsidRPr="00344F92">
        <w:rPr>
          <w:b/>
          <w:i/>
          <w:sz w:val="20"/>
          <w:szCs w:val="20"/>
        </w:rPr>
        <w:t xml:space="preserve">, </w:t>
      </w:r>
      <w:r w:rsidRPr="00344F92">
        <w:rPr>
          <w:sz w:val="20"/>
          <w:szCs w:val="20"/>
        </w:rPr>
        <w:t xml:space="preserve">Natasha Bakht, </w:t>
      </w:r>
      <w:r w:rsidRPr="00344F92">
        <w:rPr>
          <w:b/>
          <w:i/>
          <w:sz w:val="20"/>
          <w:szCs w:val="20"/>
        </w:rPr>
        <w:t>Mere Song and Dance</w:t>
      </w:r>
      <w:r>
        <w:rPr>
          <w:b/>
          <w:i/>
          <w:sz w:val="20"/>
          <w:szCs w:val="20"/>
        </w:rPr>
        <w:t xml:space="preserve"> (2009)</w:t>
      </w:r>
      <w:r w:rsidRPr="00344F92">
        <w:rPr>
          <w:b/>
          <w:i/>
          <w:sz w:val="20"/>
          <w:szCs w:val="20"/>
        </w:rPr>
        <w:t xml:space="preserve">, </w:t>
      </w:r>
      <w:r w:rsidRPr="00344F92">
        <w:rPr>
          <w:sz w:val="20"/>
          <w:szCs w:val="20"/>
        </w:rPr>
        <w:t xml:space="preserve">Michael Greyeyes </w:t>
      </w:r>
      <w:r w:rsidRPr="00344F92">
        <w:rPr>
          <w:b/>
          <w:i/>
          <w:sz w:val="20"/>
          <w:szCs w:val="20"/>
        </w:rPr>
        <w:t>Notions of Indian-ness</w:t>
      </w:r>
      <w:r>
        <w:rPr>
          <w:b/>
          <w:i/>
          <w:sz w:val="20"/>
          <w:szCs w:val="20"/>
        </w:rPr>
        <w:t xml:space="preserve"> (2009)</w:t>
      </w:r>
      <w:r w:rsidRPr="00344F92">
        <w:rPr>
          <w:b/>
          <w:i/>
          <w:sz w:val="20"/>
          <w:szCs w:val="20"/>
        </w:rPr>
        <w:t xml:space="preserve">, </w:t>
      </w:r>
      <w:r w:rsidRPr="00344F92">
        <w:rPr>
          <w:sz w:val="20"/>
          <w:szCs w:val="20"/>
        </w:rPr>
        <w:t xml:space="preserve">Kevin A. Ormsby </w:t>
      </w:r>
      <w:r w:rsidRPr="00344F92">
        <w:rPr>
          <w:b/>
          <w:i/>
          <w:sz w:val="20"/>
          <w:szCs w:val="20"/>
        </w:rPr>
        <w:t>Between Generations: Towards Understanding the Difference in Realities and Aspirations of the First and Second Generation of Culturally Diverse Artists</w:t>
      </w:r>
      <w:r>
        <w:rPr>
          <w:b/>
          <w:i/>
          <w:sz w:val="20"/>
          <w:szCs w:val="20"/>
        </w:rPr>
        <w:t xml:space="preserve"> (2009)</w:t>
      </w:r>
      <w:r w:rsidRPr="00344F92">
        <w:rPr>
          <w:b/>
          <w:i/>
          <w:sz w:val="20"/>
          <w:szCs w:val="20"/>
        </w:rPr>
        <w:t xml:space="preserve">, </w:t>
      </w:r>
      <w:r w:rsidRPr="00344F92">
        <w:rPr>
          <w:sz w:val="20"/>
          <w:szCs w:val="20"/>
        </w:rPr>
        <w:t xml:space="preserve">Little Pear Garden Theatre Collective </w:t>
      </w:r>
      <w:r w:rsidRPr="00344F92">
        <w:rPr>
          <w:b/>
          <w:i/>
          <w:sz w:val="20"/>
          <w:szCs w:val="20"/>
        </w:rPr>
        <w:t>Demystifying Chinese Aesthetics</w:t>
      </w:r>
      <w:r>
        <w:rPr>
          <w:b/>
          <w:i/>
          <w:sz w:val="20"/>
          <w:szCs w:val="20"/>
        </w:rPr>
        <w:t xml:space="preserve"> (2009)</w:t>
      </w:r>
      <w:r w:rsidRPr="00344F92">
        <w:rPr>
          <w:b/>
          <w:i/>
          <w:sz w:val="20"/>
          <w:szCs w:val="20"/>
        </w:rPr>
        <w:t xml:space="preserve">, </w:t>
      </w:r>
      <w:r w:rsidRPr="00344F92">
        <w:rPr>
          <w:sz w:val="20"/>
          <w:szCs w:val="20"/>
        </w:rPr>
        <w:t xml:space="preserve">Mennaka Thakker Dance Company and Kalannidhi Fine Arts of Canada </w:t>
      </w:r>
      <w:r w:rsidRPr="00344F92">
        <w:rPr>
          <w:b/>
          <w:i/>
          <w:sz w:val="20"/>
          <w:szCs w:val="20"/>
        </w:rPr>
        <w:t>Contemporary Choreography in Indian Dance</w:t>
      </w:r>
      <w:r>
        <w:rPr>
          <w:b/>
          <w:i/>
          <w:sz w:val="20"/>
          <w:szCs w:val="20"/>
        </w:rPr>
        <w:t xml:space="preserve"> (2009)</w:t>
      </w:r>
    </w:p>
  </w:footnote>
  <w:footnote w:id="43">
    <w:p w:rsidR="00EC53F6" w:rsidRPr="00D10EB1" w:rsidRDefault="00EC53F6" w:rsidP="00AE6101">
      <w:pPr>
        <w:pStyle w:val="FootnoteText"/>
        <w:rPr>
          <w:sz w:val="20"/>
          <w:szCs w:val="20"/>
        </w:rPr>
      </w:pPr>
      <w:r w:rsidRPr="00D10EB1">
        <w:rPr>
          <w:rStyle w:val="FootnoteReference"/>
          <w:sz w:val="20"/>
          <w:szCs w:val="20"/>
        </w:rPr>
        <w:footnoteRef/>
      </w:r>
      <w:r w:rsidRPr="00D10EB1">
        <w:rPr>
          <w:sz w:val="20"/>
          <w:szCs w:val="20"/>
        </w:rPr>
        <w:t xml:space="preserve"> See </w:t>
      </w:r>
      <w:r w:rsidRPr="00D10EB1">
        <w:rPr>
          <w:b/>
          <w:i/>
          <w:sz w:val="20"/>
          <w:szCs w:val="20"/>
        </w:rPr>
        <w:t xml:space="preserve">Trends in the Arts and Arts Funding, </w:t>
      </w:r>
      <w:r w:rsidRPr="00D10EB1">
        <w:rPr>
          <w:sz w:val="20"/>
          <w:szCs w:val="20"/>
        </w:rPr>
        <w:t>R.A. Malatest &amp; Associates, Alberta Foundation for the Arts, 2007 at 25</w:t>
      </w:r>
    </w:p>
  </w:footnote>
  <w:footnote w:id="44">
    <w:p w:rsidR="00EC53F6" w:rsidRPr="00D10EB1" w:rsidRDefault="00EC53F6" w:rsidP="00AE6101">
      <w:pPr>
        <w:pStyle w:val="FootnoteText"/>
        <w:rPr>
          <w:sz w:val="20"/>
          <w:szCs w:val="20"/>
        </w:rPr>
      </w:pPr>
      <w:r w:rsidRPr="00D10EB1">
        <w:rPr>
          <w:rStyle w:val="FootnoteReference"/>
          <w:sz w:val="20"/>
          <w:szCs w:val="20"/>
        </w:rPr>
        <w:footnoteRef/>
      </w:r>
      <w:r w:rsidRPr="00D10EB1">
        <w:rPr>
          <w:b/>
          <w:i/>
          <w:sz w:val="20"/>
          <w:szCs w:val="20"/>
        </w:rPr>
        <w:t xml:space="preserve">Patterns of Performing Arts Spending in Canada in 2008, </w:t>
      </w:r>
      <w:r w:rsidRPr="00D10EB1">
        <w:rPr>
          <w:sz w:val="20"/>
          <w:szCs w:val="20"/>
        </w:rPr>
        <w:t>Hill Strategies at 3.</w:t>
      </w:r>
    </w:p>
  </w:footnote>
  <w:footnote w:id="45">
    <w:p w:rsidR="00EC53F6" w:rsidRPr="00E16417" w:rsidRDefault="00EC53F6" w:rsidP="00AE6101">
      <w:pPr>
        <w:pStyle w:val="FootnoteText"/>
        <w:rPr>
          <w:sz w:val="20"/>
          <w:szCs w:val="20"/>
        </w:rPr>
      </w:pPr>
      <w:r w:rsidRPr="00D10EB1">
        <w:rPr>
          <w:rStyle w:val="FootnoteReference"/>
          <w:sz w:val="20"/>
          <w:szCs w:val="20"/>
        </w:rPr>
        <w:footnoteRef/>
      </w:r>
      <w:r w:rsidRPr="00D10EB1">
        <w:rPr>
          <w:sz w:val="20"/>
          <w:szCs w:val="20"/>
        </w:rPr>
        <w:t xml:space="preserve"> See  </w:t>
      </w:r>
      <w:r w:rsidRPr="00D10EB1">
        <w:rPr>
          <w:b/>
          <w:i/>
          <w:sz w:val="20"/>
          <w:szCs w:val="20"/>
        </w:rPr>
        <w:t>Arts Fact Sheet Series: Cultural Diversity – Our Regenerative Strength in the 21</w:t>
      </w:r>
      <w:r w:rsidRPr="00D10EB1">
        <w:rPr>
          <w:b/>
          <w:i/>
          <w:sz w:val="20"/>
          <w:szCs w:val="20"/>
          <w:vertAlign w:val="superscript"/>
        </w:rPr>
        <w:t>st</w:t>
      </w:r>
      <w:r w:rsidRPr="00D10EB1">
        <w:rPr>
          <w:b/>
          <w:i/>
          <w:sz w:val="20"/>
          <w:szCs w:val="20"/>
        </w:rPr>
        <w:t xml:space="preserve"> Century, </w:t>
      </w:r>
      <w:r w:rsidRPr="00D10EB1">
        <w:rPr>
          <w:sz w:val="20"/>
          <w:szCs w:val="20"/>
        </w:rPr>
        <w:t>Sharon Fernandez, May 2006, unpaginated</w:t>
      </w:r>
    </w:p>
  </w:footnote>
  <w:footnote w:id="46">
    <w:p w:rsidR="00EC53F6" w:rsidRPr="00D10EB1" w:rsidRDefault="00EC53F6" w:rsidP="00AE6101">
      <w:pPr>
        <w:pStyle w:val="FootnoteText"/>
        <w:rPr>
          <w:sz w:val="20"/>
          <w:szCs w:val="20"/>
        </w:rPr>
      </w:pPr>
      <w:r w:rsidRPr="00D10EB1">
        <w:rPr>
          <w:rStyle w:val="FootnoteReference"/>
          <w:sz w:val="20"/>
          <w:szCs w:val="20"/>
        </w:rPr>
        <w:footnoteRef/>
      </w:r>
      <w:r w:rsidRPr="00D10EB1">
        <w:rPr>
          <w:b/>
          <w:i/>
          <w:sz w:val="20"/>
          <w:szCs w:val="20"/>
        </w:rPr>
        <w:t xml:space="preserve">Training Gaps Analysis: Presenters, </w:t>
      </w:r>
      <w:r w:rsidRPr="00D10EB1">
        <w:rPr>
          <w:sz w:val="20"/>
          <w:szCs w:val="20"/>
        </w:rPr>
        <w:t xml:space="preserve">kisquared, Cultural Human Resources </w:t>
      </w:r>
      <w:r>
        <w:rPr>
          <w:sz w:val="20"/>
          <w:szCs w:val="20"/>
        </w:rPr>
        <w:t>Council</w:t>
      </w:r>
      <w:r w:rsidRPr="00D10EB1">
        <w:rPr>
          <w:sz w:val="20"/>
          <w:szCs w:val="20"/>
        </w:rPr>
        <w:t>, 2007 at 19</w:t>
      </w:r>
    </w:p>
  </w:footnote>
  <w:footnote w:id="47">
    <w:p w:rsidR="00EC53F6" w:rsidRPr="00D10EB1" w:rsidRDefault="00EC53F6" w:rsidP="00AE6101">
      <w:pPr>
        <w:pStyle w:val="FootnoteText"/>
        <w:rPr>
          <w:sz w:val="20"/>
          <w:szCs w:val="20"/>
        </w:rPr>
      </w:pPr>
      <w:r w:rsidRPr="00D10EB1">
        <w:rPr>
          <w:rStyle w:val="FootnoteReference"/>
          <w:sz w:val="20"/>
          <w:szCs w:val="20"/>
        </w:rPr>
        <w:footnoteRef/>
      </w:r>
      <w:r w:rsidRPr="00D10EB1">
        <w:rPr>
          <w:sz w:val="20"/>
          <w:szCs w:val="20"/>
        </w:rPr>
        <w:t xml:space="preserve"> Ibid at 18</w:t>
      </w:r>
    </w:p>
  </w:footnote>
  <w:footnote w:id="48">
    <w:p w:rsidR="00EC53F6" w:rsidRPr="00335A4F" w:rsidRDefault="00EC53F6" w:rsidP="00AE6101">
      <w:pPr>
        <w:widowControl w:val="0"/>
        <w:autoSpaceDE w:val="0"/>
        <w:autoSpaceDN w:val="0"/>
        <w:adjustRightInd w:val="0"/>
        <w:rPr>
          <w:sz w:val="20"/>
          <w:szCs w:val="20"/>
          <w:lang w:eastAsia="ja-JP"/>
        </w:rPr>
      </w:pPr>
      <w:r>
        <w:rPr>
          <w:rStyle w:val="FootnoteReference"/>
        </w:rPr>
        <w:footnoteRef/>
      </w:r>
      <w:r>
        <w:rPr>
          <w:sz w:val="20"/>
          <w:szCs w:val="20"/>
        </w:rPr>
        <w:t xml:space="preserve">See WolfBrown, </w:t>
      </w:r>
      <w:r w:rsidRPr="00D600A8">
        <w:rPr>
          <w:b/>
          <w:sz w:val="20"/>
          <w:szCs w:val="20"/>
          <w:lang w:eastAsia="ja-JP"/>
        </w:rPr>
        <w:t>Ontario Arts Engagement Study: Results from a 2011 Province-wide Study of the Arts Engagement Patterns of Ontario Adults</w:t>
      </w:r>
      <w:r>
        <w:rPr>
          <w:sz w:val="20"/>
          <w:szCs w:val="20"/>
          <w:lang w:eastAsia="ja-JP"/>
        </w:rPr>
        <w:t>,</w:t>
      </w:r>
      <w:r w:rsidRPr="00D600A8">
        <w:rPr>
          <w:sz w:val="20"/>
          <w:szCs w:val="20"/>
          <w:lang w:eastAsia="ja-JP"/>
        </w:rPr>
        <w:t xml:space="preserve"> Ontario Arts CouncilSeptember 2011</w:t>
      </w:r>
      <w:r>
        <w:rPr>
          <w:sz w:val="20"/>
          <w:szCs w:val="20"/>
        </w:rPr>
        <w:t xml:space="preserve"> at 5 and 50</w:t>
      </w:r>
    </w:p>
  </w:footnote>
  <w:footnote w:id="49">
    <w:p w:rsidR="00EC53F6" w:rsidRPr="00DB3285" w:rsidRDefault="00EC53F6" w:rsidP="00AE6101">
      <w:pPr>
        <w:pStyle w:val="FootnoteText"/>
        <w:rPr>
          <w:sz w:val="20"/>
          <w:szCs w:val="20"/>
        </w:rPr>
      </w:pPr>
      <w:r>
        <w:rPr>
          <w:rStyle w:val="FootnoteReference"/>
        </w:rPr>
        <w:footnoteRef/>
      </w:r>
      <w:r>
        <w:rPr>
          <w:sz w:val="20"/>
          <w:szCs w:val="20"/>
        </w:rPr>
        <w:t>Ibid at 23,26, 29,32,35</w:t>
      </w:r>
    </w:p>
  </w:footnote>
  <w:footnote w:id="50">
    <w:p w:rsidR="00EC53F6" w:rsidRPr="00DB3285" w:rsidRDefault="00EC53F6" w:rsidP="00AE6101">
      <w:pPr>
        <w:pStyle w:val="FootnoteText"/>
        <w:rPr>
          <w:sz w:val="20"/>
          <w:szCs w:val="20"/>
        </w:rPr>
      </w:pPr>
      <w:r>
        <w:rPr>
          <w:rStyle w:val="FootnoteReference"/>
        </w:rPr>
        <w:footnoteRef/>
      </w:r>
      <w:r>
        <w:rPr>
          <w:sz w:val="20"/>
          <w:szCs w:val="20"/>
        </w:rPr>
        <w:t>Ibid at 44</w:t>
      </w:r>
    </w:p>
  </w:footnote>
  <w:footnote w:id="51">
    <w:p w:rsidR="00EC53F6" w:rsidRPr="00DB3285" w:rsidRDefault="00EC53F6" w:rsidP="00AE6101">
      <w:pPr>
        <w:pStyle w:val="FootnoteText"/>
        <w:rPr>
          <w:sz w:val="20"/>
          <w:szCs w:val="20"/>
        </w:rPr>
      </w:pPr>
      <w:r>
        <w:rPr>
          <w:rStyle w:val="FootnoteReference"/>
        </w:rPr>
        <w:footnoteRef/>
      </w:r>
      <w:r>
        <w:rPr>
          <w:sz w:val="20"/>
          <w:szCs w:val="20"/>
        </w:rPr>
        <w:t>Ibid at 46</w:t>
      </w:r>
    </w:p>
  </w:footnote>
  <w:footnote w:id="52">
    <w:p w:rsidR="00EC53F6" w:rsidRPr="00DB3285" w:rsidRDefault="00EC53F6" w:rsidP="00AE6101">
      <w:pPr>
        <w:pStyle w:val="FootnoteText"/>
        <w:rPr>
          <w:sz w:val="20"/>
          <w:szCs w:val="20"/>
        </w:rPr>
      </w:pPr>
      <w:r>
        <w:rPr>
          <w:rStyle w:val="FootnoteReference"/>
        </w:rPr>
        <w:footnoteRef/>
      </w:r>
      <w:r>
        <w:rPr>
          <w:sz w:val="20"/>
          <w:szCs w:val="20"/>
        </w:rPr>
        <w:t>Ibid 1t 48</w:t>
      </w:r>
    </w:p>
  </w:footnote>
  <w:footnote w:id="53">
    <w:p w:rsidR="00EC53F6" w:rsidRPr="00A90CC1" w:rsidRDefault="00EC53F6" w:rsidP="00AE6101">
      <w:pPr>
        <w:pStyle w:val="FootnoteText"/>
        <w:rPr>
          <w:sz w:val="20"/>
          <w:szCs w:val="20"/>
        </w:rPr>
      </w:pPr>
      <w:r>
        <w:rPr>
          <w:rStyle w:val="FootnoteReference"/>
        </w:rPr>
        <w:footnoteRef/>
      </w:r>
      <w:r>
        <w:rPr>
          <w:sz w:val="20"/>
          <w:szCs w:val="20"/>
        </w:rPr>
        <w:t>Ibid at 52  and 11 respectively</w:t>
      </w:r>
    </w:p>
  </w:footnote>
  <w:footnote w:id="54">
    <w:p w:rsidR="00EC53F6" w:rsidRPr="00015A88" w:rsidRDefault="00EC53F6" w:rsidP="00AE6101">
      <w:pPr>
        <w:pStyle w:val="FootnoteText"/>
        <w:rPr>
          <w:sz w:val="20"/>
          <w:szCs w:val="20"/>
        </w:rPr>
      </w:pPr>
      <w:r>
        <w:rPr>
          <w:rStyle w:val="FootnoteReference"/>
        </w:rPr>
        <w:footnoteRef/>
      </w:r>
      <w:r>
        <w:rPr>
          <w:sz w:val="20"/>
          <w:szCs w:val="20"/>
        </w:rPr>
        <w:t>Ibid at 64</w:t>
      </w:r>
    </w:p>
  </w:footnote>
  <w:footnote w:id="55">
    <w:p w:rsidR="00EC53F6" w:rsidRPr="00015A88" w:rsidRDefault="00EC53F6" w:rsidP="00AE6101">
      <w:pPr>
        <w:pStyle w:val="FootnoteText"/>
        <w:rPr>
          <w:sz w:val="20"/>
          <w:szCs w:val="20"/>
        </w:rPr>
      </w:pPr>
      <w:r>
        <w:rPr>
          <w:rStyle w:val="FootnoteReference"/>
        </w:rPr>
        <w:footnoteRef/>
      </w:r>
      <w:r>
        <w:rPr>
          <w:sz w:val="20"/>
          <w:szCs w:val="20"/>
        </w:rPr>
        <w:t>Ibid at 76-77</w:t>
      </w:r>
    </w:p>
  </w:footnote>
  <w:footnote w:id="56">
    <w:p w:rsidR="00EC53F6" w:rsidRPr="007A642F" w:rsidRDefault="00EC53F6" w:rsidP="00AE6101">
      <w:pPr>
        <w:pStyle w:val="FootnoteText"/>
        <w:rPr>
          <w:sz w:val="20"/>
          <w:szCs w:val="20"/>
        </w:rPr>
      </w:pPr>
      <w:r>
        <w:rPr>
          <w:rStyle w:val="FootnoteReference"/>
        </w:rPr>
        <w:footnoteRef/>
      </w:r>
      <w:r>
        <w:rPr>
          <w:sz w:val="20"/>
          <w:szCs w:val="20"/>
        </w:rPr>
        <w:t>Ibid at 63</w:t>
      </w:r>
    </w:p>
  </w:footnote>
  <w:footnote w:id="57">
    <w:p w:rsidR="00EC53F6" w:rsidRPr="00C42132" w:rsidRDefault="00EC53F6" w:rsidP="00AE6101">
      <w:pPr>
        <w:pStyle w:val="FootnoteText"/>
        <w:rPr>
          <w:sz w:val="20"/>
          <w:szCs w:val="20"/>
        </w:rPr>
      </w:pPr>
      <w:r>
        <w:rPr>
          <w:rStyle w:val="FootnoteReference"/>
        </w:rPr>
        <w:footnoteRef/>
      </w:r>
      <w:r>
        <w:rPr>
          <w:sz w:val="20"/>
          <w:szCs w:val="20"/>
        </w:rPr>
        <w:t>Ibid at 89</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E09" w:rsidRDefault="00431ED1" w:rsidP="00431ED1">
    <w:pPr>
      <w:pStyle w:val="Header"/>
      <w:jc w:val="center"/>
    </w:pPr>
    <w:r>
      <w:rPr>
        <w:noProof/>
        <w:lang w:val="en-CA" w:eastAsia="zh-CN"/>
      </w:rPr>
      <w:drawing>
        <wp:anchor distT="0" distB="180340" distL="114300" distR="114300" simplePos="0" relativeHeight="251658240" behindDoc="0" locked="0" layoutInCell="1" allowOverlap="1">
          <wp:simplePos x="0" y="0"/>
          <wp:positionH relativeFrom="column">
            <wp:posOffset>1441010</wp:posOffset>
          </wp:positionH>
          <wp:positionV relativeFrom="paragraph">
            <wp:posOffset>4527</wp:posOffset>
          </wp:positionV>
          <wp:extent cx="2687936" cy="1077362"/>
          <wp:effectExtent l="19050" t="0" r="0" b="0"/>
          <wp:wrapTopAndBottom/>
          <wp:docPr id="2" name="Picture 1" descr="CPPAMO logo M_Horizont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PAMO logo M_Horizontal.jpg"/>
                  <pic:cNvPicPr/>
                </pic:nvPicPr>
                <pic:blipFill>
                  <a:blip r:embed="rId1"/>
                  <a:stretch>
                    <a:fillRect/>
                  </a:stretch>
                </pic:blipFill>
                <pic:spPr>
                  <a:xfrm>
                    <a:off x="0" y="0"/>
                    <a:ext cx="2687936" cy="1077362"/>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3"/>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E03268"/>
    <w:multiLevelType w:val="hybridMultilevel"/>
    <w:tmpl w:val="DA3496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7B390D"/>
    <w:multiLevelType w:val="hybridMultilevel"/>
    <w:tmpl w:val="BC6E7F1E"/>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35A0B85"/>
    <w:multiLevelType w:val="hybridMultilevel"/>
    <w:tmpl w:val="1F961BC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7553E1E"/>
    <w:multiLevelType w:val="hybridMultilevel"/>
    <w:tmpl w:val="769EEB00"/>
    <w:lvl w:ilvl="0" w:tplc="B31CD02A">
      <w:start w:val="1"/>
      <w:numFmt w:val="decimal"/>
      <w:lvlText w:val="%1."/>
      <w:lvlJc w:val="left"/>
      <w:pPr>
        <w:ind w:left="229" w:hanging="360"/>
      </w:pPr>
      <w:rPr>
        <w:rFonts w:hint="default"/>
      </w:rPr>
    </w:lvl>
    <w:lvl w:ilvl="1" w:tplc="04090019" w:tentative="1">
      <w:start w:val="1"/>
      <w:numFmt w:val="lowerLetter"/>
      <w:lvlText w:val="%2."/>
      <w:lvlJc w:val="left"/>
      <w:pPr>
        <w:ind w:left="949" w:hanging="360"/>
      </w:pPr>
    </w:lvl>
    <w:lvl w:ilvl="2" w:tplc="0409001B" w:tentative="1">
      <w:start w:val="1"/>
      <w:numFmt w:val="lowerRoman"/>
      <w:lvlText w:val="%3."/>
      <w:lvlJc w:val="right"/>
      <w:pPr>
        <w:ind w:left="1669" w:hanging="180"/>
      </w:pPr>
    </w:lvl>
    <w:lvl w:ilvl="3" w:tplc="0409000F" w:tentative="1">
      <w:start w:val="1"/>
      <w:numFmt w:val="decimal"/>
      <w:lvlText w:val="%4."/>
      <w:lvlJc w:val="left"/>
      <w:pPr>
        <w:ind w:left="2389" w:hanging="360"/>
      </w:pPr>
    </w:lvl>
    <w:lvl w:ilvl="4" w:tplc="04090019" w:tentative="1">
      <w:start w:val="1"/>
      <w:numFmt w:val="lowerLetter"/>
      <w:lvlText w:val="%5."/>
      <w:lvlJc w:val="left"/>
      <w:pPr>
        <w:ind w:left="3109" w:hanging="360"/>
      </w:pPr>
    </w:lvl>
    <w:lvl w:ilvl="5" w:tplc="0409001B" w:tentative="1">
      <w:start w:val="1"/>
      <w:numFmt w:val="lowerRoman"/>
      <w:lvlText w:val="%6."/>
      <w:lvlJc w:val="right"/>
      <w:pPr>
        <w:ind w:left="3829" w:hanging="180"/>
      </w:pPr>
    </w:lvl>
    <w:lvl w:ilvl="6" w:tplc="0409000F" w:tentative="1">
      <w:start w:val="1"/>
      <w:numFmt w:val="decimal"/>
      <w:lvlText w:val="%7."/>
      <w:lvlJc w:val="left"/>
      <w:pPr>
        <w:ind w:left="4549" w:hanging="360"/>
      </w:pPr>
    </w:lvl>
    <w:lvl w:ilvl="7" w:tplc="04090019" w:tentative="1">
      <w:start w:val="1"/>
      <w:numFmt w:val="lowerLetter"/>
      <w:lvlText w:val="%8."/>
      <w:lvlJc w:val="left"/>
      <w:pPr>
        <w:ind w:left="5269" w:hanging="360"/>
      </w:pPr>
    </w:lvl>
    <w:lvl w:ilvl="8" w:tplc="0409001B" w:tentative="1">
      <w:start w:val="1"/>
      <w:numFmt w:val="lowerRoman"/>
      <w:lvlText w:val="%9."/>
      <w:lvlJc w:val="right"/>
      <w:pPr>
        <w:ind w:left="5989" w:hanging="180"/>
      </w:pPr>
    </w:lvl>
  </w:abstractNum>
  <w:abstractNum w:abstractNumId="6">
    <w:nsid w:val="19F61ADE"/>
    <w:multiLevelType w:val="hybridMultilevel"/>
    <w:tmpl w:val="DA5A6CF2"/>
    <w:lvl w:ilvl="0" w:tplc="0409000D">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264265E6"/>
    <w:multiLevelType w:val="hybridMultilevel"/>
    <w:tmpl w:val="CB1ECDFC"/>
    <w:lvl w:ilvl="0" w:tplc="0409000B">
      <w:start w:val="1"/>
      <w:numFmt w:val="bullet"/>
      <w:lvlText w:val=""/>
      <w:lvlJc w:val="left"/>
      <w:pPr>
        <w:ind w:left="3520" w:hanging="360"/>
      </w:pPr>
      <w:rPr>
        <w:rFonts w:ascii="Wingdings" w:hAnsi="Wingdings" w:hint="default"/>
      </w:rPr>
    </w:lvl>
    <w:lvl w:ilvl="1" w:tplc="04090003" w:tentative="1">
      <w:start w:val="1"/>
      <w:numFmt w:val="bullet"/>
      <w:lvlText w:val="o"/>
      <w:lvlJc w:val="left"/>
      <w:pPr>
        <w:ind w:left="4240" w:hanging="360"/>
      </w:pPr>
      <w:rPr>
        <w:rFonts w:ascii="Courier New" w:hAnsi="Courier New" w:hint="default"/>
      </w:rPr>
    </w:lvl>
    <w:lvl w:ilvl="2" w:tplc="04090005" w:tentative="1">
      <w:start w:val="1"/>
      <w:numFmt w:val="bullet"/>
      <w:lvlText w:val=""/>
      <w:lvlJc w:val="left"/>
      <w:pPr>
        <w:ind w:left="4960" w:hanging="360"/>
      </w:pPr>
      <w:rPr>
        <w:rFonts w:ascii="Wingdings" w:hAnsi="Wingdings" w:hint="default"/>
      </w:rPr>
    </w:lvl>
    <w:lvl w:ilvl="3" w:tplc="04090001" w:tentative="1">
      <w:start w:val="1"/>
      <w:numFmt w:val="bullet"/>
      <w:lvlText w:val=""/>
      <w:lvlJc w:val="left"/>
      <w:pPr>
        <w:ind w:left="5680" w:hanging="360"/>
      </w:pPr>
      <w:rPr>
        <w:rFonts w:ascii="Symbol" w:hAnsi="Symbol" w:hint="default"/>
      </w:rPr>
    </w:lvl>
    <w:lvl w:ilvl="4" w:tplc="04090003" w:tentative="1">
      <w:start w:val="1"/>
      <w:numFmt w:val="bullet"/>
      <w:lvlText w:val="o"/>
      <w:lvlJc w:val="left"/>
      <w:pPr>
        <w:ind w:left="6400" w:hanging="360"/>
      </w:pPr>
      <w:rPr>
        <w:rFonts w:ascii="Courier New" w:hAnsi="Courier New" w:hint="default"/>
      </w:rPr>
    </w:lvl>
    <w:lvl w:ilvl="5" w:tplc="04090005" w:tentative="1">
      <w:start w:val="1"/>
      <w:numFmt w:val="bullet"/>
      <w:lvlText w:val=""/>
      <w:lvlJc w:val="left"/>
      <w:pPr>
        <w:ind w:left="7120" w:hanging="360"/>
      </w:pPr>
      <w:rPr>
        <w:rFonts w:ascii="Wingdings" w:hAnsi="Wingdings" w:hint="default"/>
      </w:rPr>
    </w:lvl>
    <w:lvl w:ilvl="6" w:tplc="04090001" w:tentative="1">
      <w:start w:val="1"/>
      <w:numFmt w:val="bullet"/>
      <w:lvlText w:val=""/>
      <w:lvlJc w:val="left"/>
      <w:pPr>
        <w:ind w:left="7840" w:hanging="360"/>
      </w:pPr>
      <w:rPr>
        <w:rFonts w:ascii="Symbol" w:hAnsi="Symbol" w:hint="default"/>
      </w:rPr>
    </w:lvl>
    <w:lvl w:ilvl="7" w:tplc="04090003" w:tentative="1">
      <w:start w:val="1"/>
      <w:numFmt w:val="bullet"/>
      <w:lvlText w:val="o"/>
      <w:lvlJc w:val="left"/>
      <w:pPr>
        <w:ind w:left="8560" w:hanging="360"/>
      </w:pPr>
      <w:rPr>
        <w:rFonts w:ascii="Courier New" w:hAnsi="Courier New" w:hint="default"/>
      </w:rPr>
    </w:lvl>
    <w:lvl w:ilvl="8" w:tplc="04090005" w:tentative="1">
      <w:start w:val="1"/>
      <w:numFmt w:val="bullet"/>
      <w:lvlText w:val=""/>
      <w:lvlJc w:val="left"/>
      <w:pPr>
        <w:ind w:left="9280" w:hanging="360"/>
      </w:pPr>
      <w:rPr>
        <w:rFonts w:ascii="Wingdings" w:hAnsi="Wingdings" w:hint="default"/>
      </w:rPr>
    </w:lvl>
  </w:abstractNum>
  <w:abstractNum w:abstractNumId="8">
    <w:nsid w:val="283B0925"/>
    <w:multiLevelType w:val="hybridMultilevel"/>
    <w:tmpl w:val="033687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9B7218"/>
    <w:multiLevelType w:val="hybridMultilevel"/>
    <w:tmpl w:val="B0B6C3F6"/>
    <w:lvl w:ilvl="0" w:tplc="0409000B">
      <w:start w:val="1"/>
      <w:numFmt w:val="bullet"/>
      <w:lvlText w:val=""/>
      <w:lvlJc w:val="left"/>
      <w:pPr>
        <w:ind w:left="1640" w:hanging="360"/>
      </w:pPr>
      <w:rPr>
        <w:rFonts w:ascii="Wingdings" w:hAnsi="Wingdings" w:hint="default"/>
      </w:rPr>
    </w:lvl>
    <w:lvl w:ilvl="1" w:tplc="04090003" w:tentative="1">
      <w:start w:val="1"/>
      <w:numFmt w:val="bullet"/>
      <w:lvlText w:val="o"/>
      <w:lvlJc w:val="left"/>
      <w:pPr>
        <w:ind w:left="2360" w:hanging="360"/>
      </w:pPr>
      <w:rPr>
        <w:rFonts w:ascii="Courier New" w:hAnsi="Courier New" w:hint="default"/>
      </w:rPr>
    </w:lvl>
    <w:lvl w:ilvl="2" w:tplc="04090005" w:tentative="1">
      <w:start w:val="1"/>
      <w:numFmt w:val="bullet"/>
      <w:lvlText w:val=""/>
      <w:lvlJc w:val="left"/>
      <w:pPr>
        <w:ind w:left="3080" w:hanging="360"/>
      </w:pPr>
      <w:rPr>
        <w:rFonts w:ascii="Wingdings" w:hAnsi="Wingdings" w:hint="default"/>
      </w:rPr>
    </w:lvl>
    <w:lvl w:ilvl="3" w:tplc="04090001" w:tentative="1">
      <w:start w:val="1"/>
      <w:numFmt w:val="bullet"/>
      <w:lvlText w:val=""/>
      <w:lvlJc w:val="left"/>
      <w:pPr>
        <w:ind w:left="3800" w:hanging="360"/>
      </w:pPr>
      <w:rPr>
        <w:rFonts w:ascii="Symbol" w:hAnsi="Symbol" w:hint="default"/>
      </w:rPr>
    </w:lvl>
    <w:lvl w:ilvl="4" w:tplc="04090003" w:tentative="1">
      <w:start w:val="1"/>
      <w:numFmt w:val="bullet"/>
      <w:lvlText w:val="o"/>
      <w:lvlJc w:val="left"/>
      <w:pPr>
        <w:ind w:left="4520" w:hanging="360"/>
      </w:pPr>
      <w:rPr>
        <w:rFonts w:ascii="Courier New" w:hAnsi="Courier New" w:hint="default"/>
      </w:rPr>
    </w:lvl>
    <w:lvl w:ilvl="5" w:tplc="04090005" w:tentative="1">
      <w:start w:val="1"/>
      <w:numFmt w:val="bullet"/>
      <w:lvlText w:val=""/>
      <w:lvlJc w:val="left"/>
      <w:pPr>
        <w:ind w:left="5240" w:hanging="360"/>
      </w:pPr>
      <w:rPr>
        <w:rFonts w:ascii="Wingdings" w:hAnsi="Wingdings" w:hint="default"/>
      </w:rPr>
    </w:lvl>
    <w:lvl w:ilvl="6" w:tplc="04090001" w:tentative="1">
      <w:start w:val="1"/>
      <w:numFmt w:val="bullet"/>
      <w:lvlText w:val=""/>
      <w:lvlJc w:val="left"/>
      <w:pPr>
        <w:ind w:left="5960" w:hanging="360"/>
      </w:pPr>
      <w:rPr>
        <w:rFonts w:ascii="Symbol" w:hAnsi="Symbol" w:hint="default"/>
      </w:rPr>
    </w:lvl>
    <w:lvl w:ilvl="7" w:tplc="04090003" w:tentative="1">
      <w:start w:val="1"/>
      <w:numFmt w:val="bullet"/>
      <w:lvlText w:val="o"/>
      <w:lvlJc w:val="left"/>
      <w:pPr>
        <w:ind w:left="6680" w:hanging="360"/>
      </w:pPr>
      <w:rPr>
        <w:rFonts w:ascii="Courier New" w:hAnsi="Courier New" w:hint="default"/>
      </w:rPr>
    </w:lvl>
    <w:lvl w:ilvl="8" w:tplc="04090005" w:tentative="1">
      <w:start w:val="1"/>
      <w:numFmt w:val="bullet"/>
      <w:lvlText w:val=""/>
      <w:lvlJc w:val="left"/>
      <w:pPr>
        <w:ind w:left="7400" w:hanging="360"/>
      </w:pPr>
      <w:rPr>
        <w:rFonts w:ascii="Wingdings" w:hAnsi="Wingdings" w:hint="default"/>
      </w:rPr>
    </w:lvl>
  </w:abstractNum>
  <w:abstractNum w:abstractNumId="10">
    <w:nsid w:val="308F1BC8"/>
    <w:multiLevelType w:val="hybridMultilevel"/>
    <w:tmpl w:val="476A1702"/>
    <w:lvl w:ilvl="0" w:tplc="BA26BB2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30C0AA6"/>
    <w:multiLevelType w:val="hybridMultilevel"/>
    <w:tmpl w:val="8ABCCE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BD93340"/>
    <w:multiLevelType w:val="hybridMultilevel"/>
    <w:tmpl w:val="DB8AF86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322273A"/>
    <w:multiLevelType w:val="hybridMultilevel"/>
    <w:tmpl w:val="51827F0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A8646B6"/>
    <w:multiLevelType w:val="hybridMultilevel"/>
    <w:tmpl w:val="DA3E2CA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4B393F"/>
    <w:multiLevelType w:val="hybridMultilevel"/>
    <w:tmpl w:val="B70CC3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1735F9D"/>
    <w:multiLevelType w:val="hybridMultilevel"/>
    <w:tmpl w:val="89AE68CC"/>
    <w:lvl w:ilvl="0" w:tplc="0409000D">
      <w:start w:val="1"/>
      <w:numFmt w:val="bullet"/>
      <w:lvlText w:val=""/>
      <w:lvlJc w:val="left"/>
      <w:pPr>
        <w:tabs>
          <w:tab w:val="num" w:pos="780"/>
        </w:tabs>
        <w:ind w:left="780" w:hanging="360"/>
      </w:pPr>
      <w:rPr>
        <w:rFonts w:ascii="Wingdings" w:hAnsi="Wingdings" w:hint="default"/>
      </w:rPr>
    </w:lvl>
    <w:lvl w:ilvl="1" w:tplc="04090003" w:tentative="1">
      <w:start w:val="1"/>
      <w:numFmt w:val="bullet"/>
      <w:lvlText w:val="o"/>
      <w:lvlJc w:val="left"/>
      <w:pPr>
        <w:tabs>
          <w:tab w:val="num" w:pos="1500"/>
        </w:tabs>
        <w:ind w:left="1500" w:hanging="360"/>
      </w:pPr>
      <w:rPr>
        <w:rFonts w:ascii="Courier New" w:hAnsi="Courier New" w:cs="Arial"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Arial"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Arial"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7">
    <w:nsid w:val="56B353B3"/>
    <w:multiLevelType w:val="hybridMultilevel"/>
    <w:tmpl w:val="748242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46C2B03"/>
    <w:multiLevelType w:val="hybridMultilevel"/>
    <w:tmpl w:val="25E41F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7734C12"/>
    <w:multiLevelType w:val="hybridMultilevel"/>
    <w:tmpl w:val="A36C06E2"/>
    <w:lvl w:ilvl="0" w:tplc="04090017">
      <w:start w:val="1"/>
      <w:numFmt w:val="lowerLetter"/>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20">
    <w:nsid w:val="7F227F98"/>
    <w:multiLevelType w:val="hybridMultilevel"/>
    <w:tmpl w:val="95A2CD0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6"/>
  </w:num>
  <w:num w:numId="2">
    <w:abstractNumId w:val="15"/>
  </w:num>
  <w:num w:numId="3">
    <w:abstractNumId w:val="12"/>
  </w:num>
  <w:num w:numId="4">
    <w:abstractNumId w:val="9"/>
  </w:num>
  <w:num w:numId="5">
    <w:abstractNumId w:val="13"/>
  </w:num>
  <w:num w:numId="6">
    <w:abstractNumId w:val="2"/>
  </w:num>
  <w:num w:numId="7">
    <w:abstractNumId w:val="6"/>
  </w:num>
  <w:num w:numId="8">
    <w:abstractNumId w:val="11"/>
  </w:num>
  <w:num w:numId="9">
    <w:abstractNumId w:val="8"/>
  </w:num>
  <w:num w:numId="10">
    <w:abstractNumId w:val="14"/>
  </w:num>
  <w:num w:numId="11">
    <w:abstractNumId w:val="4"/>
  </w:num>
  <w:num w:numId="12">
    <w:abstractNumId w:val="20"/>
  </w:num>
  <w:num w:numId="13">
    <w:abstractNumId w:val="17"/>
  </w:num>
  <w:num w:numId="14">
    <w:abstractNumId w:val="10"/>
  </w:num>
  <w:num w:numId="15">
    <w:abstractNumId w:val="19"/>
  </w:num>
  <w:num w:numId="16">
    <w:abstractNumId w:val="7"/>
  </w:num>
  <w:num w:numId="17">
    <w:abstractNumId w:val="5"/>
  </w:num>
  <w:num w:numId="18">
    <w:abstractNumId w:val="0"/>
  </w:num>
  <w:num w:numId="19">
    <w:abstractNumId w:val="1"/>
  </w:num>
  <w:num w:numId="20">
    <w:abstractNumId w:val="3"/>
  </w:num>
  <w:num w:numId="21">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embedSystemFonts/>
  <w:defaultTabStop w:val="720"/>
  <w:displayHorizontalDrawingGridEvery w:val="0"/>
  <w:displayVerticalDrawingGridEvery w:val="0"/>
  <w:doNotUseMarginsForDrawingGridOrigin/>
  <w:noPunctuationKerning/>
  <w:characterSpacingControl w:val="doNotCompress"/>
  <w:savePreviewPicture/>
  <w:hdrShapeDefaults>
    <o:shapedefaults v:ext="edit" spidmax="3074"/>
  </w:hdrShapeDefaults>
  <w:footnotePr>
    <w:footnote w:id="-1"/>
    <w:footnote w:id="0"/>
  </w:footnotePr>
  <w:endnotePr>
    <w:endnote w:id="-1"/>
    <w:endnote w:id="0"/>
  </w:endnotePr>
  <w:compat>
    <w:useFELayout/>
  </w:compat>
  <w:rsids>
    <w:rsidRoot w:val="009D6EC4"/>
    <w:rsid w:val="000C0EB3"/>
    <w:rsid w:val="000E2BD2"/>
    <w:rsid w:val="00176C0B"/>
    <w:rsid w:val="002E3E88"/>
    <w:rsid w:val="00327682"/>
    <w:rsid w:val="004043C2"/>
    <w:rsid w:val="0041733D"/>
    <w:rsid w:val="00431ED1"/>
    <w:rsid w:val="00481A56"/>
    <w:rsid w:val="004E127E"/>
    <w:rsid w:val="00526336"/>
    <w:rsid w:val="00546046"/>
    <w:rsid w:val="005F3FDA"/>
    <w:rsid w:val="00610E09"/>
    <w:rsid w:val="006205A5"/>
    <w:rsid w:val="00641A67"/>
    <w:rsid w:val="00700278"/>
    <w:rsid w:val="00781DEE"/>
    <w:rsid w:val="00791B7C"/>
    <w:rsid w:val="00797700"/>
    <w:rsid w:val="008A39C1"/>
    <w:rsid w:val="009148C8"/>
    <w:rsid w:val="0095171A"/>
    <w:rsid w:val="009D43A2"/>
    <w:rsid w:val="009D6EC4"/>
    <w:rsid w:val="00A526AD"/>
    <w:rsid w:val="00A76888"/>
    <w:rsid w:val="00A82AB2"/>
    <w:rsid w:val="00AE6101"/>
    <w:rsid w:val="00CC29E7"/>
    <w:rsid w:val="00DC1E24"/>
    <w:rsid w:val="00E245E9"/>
    <w:rsid w:val="00EC53F6"/>
    <w:rsid w:val="00ED21B3"/>
    <w:rsid w:val="00F00617"/>
  </w:rsids>
  <m:mathPr>
    <m:mathFont m:val="Cambria Math"/>
    <m:brkBin m:val="before"/>
    <m:brkBinSub m:val="--"/>
    <m:smallFrac m:val="off"/>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E88"/>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6101"/>
    <w:pPr>
      <w:ind w:left="720"/>
      <w:contextualSpacing/>
    </w:pPr>
  </w:style>
  <w:style w:type="paragraph" w:styleId="FootnoteText">
    <w:name w:val="footnote text"/>
    <w:basedOn w:val="Normal"/>
    <w:link w:val="FootnoteTextChar"/>
    <w:rsid w:val="00AE6101"/>
    <w:rPr>
      <w:rFonts w:eastAsia="Times New Roman"/>
    </w:rPr>
  </w:style>
  <w:style w:type="character" w:customStyle="1" w:styleId="FootnoteTextChar">
    <w:name w:val="Footnote Text Char"/>
    <w:basedOn w:val="DefaultParagraphFont"/>
    <w:link w:val="FootnoteText"/>
    <w:rsid w:val="00AE6101"/>
    <w:rPr>
      <w:rFonts w:eastAsia="Times New Roman"/>
      <w:lang w:eastAsia="en-US"/>
    </w:rPr>
  </w:style>
  <w:style w:type="character" w:styleId="FootnoteReference">
    <w:name w:val="footnote reference"/>
    <w:rsid w:val="00AE6101"/>
    <w:rPr>
      <w:vertAlign w:val="superscript"/>
    </w:rPr>
  </w:style>
  <w:style w:type="character" w:styleId="Hyperlink">
    <w:name w:val="Hyperlink"/>
    <w:basedOn w:val="DefaultParagraphFont"/>
    <w:uiPriority w:val="99"/>
    <w:unhideWhenUsed/>
    <w:rsid w:val="00AE6101"/>
    <w:rPr>
      <w:color w:val="0000FF"/>
      <w:u w:val="single"/>
    </w:rPr>
  </w:style>
  <w:style w:type="paragraph" w:styleId="CommentText">
    <w:name w:val="annotation text"/>
    <w:basedOn w:val="Normal"/>
    <w:link w:val="CommentTextChar"/>
    <w:uiPriority w:val="99"/>
    <w:unhideWhenUsed/>
    <w:rsid w:val="00AE6101"/>
    <w:rPr>
      <w:sz w:val="20"/>
      <w:szCs w:val="20"/>
    </w:rPr>
  </w:style>
  <w:style w:type="character" w:customStyle="1" w:styleId="CommentTextChar">
    <w:name w:val="Comment Text Char"/>
    <w:basedOn w:val="DefaultParagraphFont"/>
    <w:link w:val="CommentText"/>
    <w:uiPriority w:val="99"/>
    <w:rsid w:val="00AE6101"/>
    <w:rPr>
      <w:sz w:val="20"/>
      <w:szCs w:val="20"/>
      <w:lang w:eastAsia="en-US"/>
    </w:rPr>
  </w:style>
  <w:style w:type="paragraph" w:styleId="Footer">
    <w:name w:val="footer"/>
    <w:basedOn w:val="Normal"/>
    <w:link w:val="FooterChar"/>
    <w:uiPriority w:val="99"/>
    <w:unhideWhenUsed/>
    <w:rsid w:val="00AE6101"/>
    <w:pPr>
      <w:tabs>
        <w:tab w:val="center" w:pos="4320"/>
        <w:tab w:val="right" w:pos="8640"/>
      </w:tabs>
    </w:pPr>
  </w:style>
  <w:style w:type="character" w:customStyle="1" w:styleId="FooterChar">
    <w:name w:val="Footer Char"/>
    <w:basedOn w:val="DefaultParagraphFont"/>
    <w:link w:val="Footer"/>
    <w:uiPriority w:val="99"/>
    <w:rsid w:val="00AE6101"/>
    <w:rPr>
      <w:lang w:eastAsia="en-US"/>
    </w:rPr>
  </w:style>
  <w:style w:type="character" w:styleId="PageNumber">
    <w:name w:val="page number"/>
    <w:basedOn w:val="DefaultParagraphFont"/>
    <w:uiPriority w:val="99"/>
    <w:semiHidden/>
    <w:unhideWhenUsed/>
    <w:rsid w:val="00AE6101"/>
  </w:style>
  <w:style w:type="paragraph" w:styleId="Header">
    <w:name w:val="header"/>
    <w:basedOn w:val="Normal"/>
    <w:link w:val="HeaderChar"/>
    <w:uiPriority w:val="99"/>
    <w:unhideWhenUsed/>
    <w:rsid w:val="00610E09"/>
    <w:pPr>
      <w:tabs>
        <w:tab w:val="center" w:pos="4320"/>
        <w:tab w:val="right" w:pos="8640"/>
      </w:tabs>
    </w:pPr>
  </w:style>
  <w:style w:type="character" w:customStyle="1" w:styleId="HeaderChar">
    <w:name w:val="Header Char"/>
    <w:basedOn w:val="DefaultParagraphFont"/>
    <w:link w:val="Header"/>
    <w:uiPriority w:val="99"/>
    <w:rsid w:val="00610E09"/>
    <w:rPr>
      <w:lang w:eastAsia="en-US"/>
    </w:rPr>
  </w:style>
  <w:style w:type="paragraph" w:styleId="BalloonText">
    <w:name w:val="Balloon Text"/>
    <w:basedOn w:val="Normal"/>
    <w:link w:val="BalloonTextChar"/>
    <w:uiPriority w:val="99"/>
    <w:semiHidden/>
    <w:unhideWhenUsed/>
    <w:rsid w:val="00610E0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10E09"/>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6101"/>
    <w:pPr>
      <w:ind w:left="720"/>
      <w:contextualSpacing/>
    </w:pPr>
  </w:style>
  <w:style w:type="paragraph" w:styleId="FootnoteText">
    <w:name w:val="footnote text"/>
    <w:basedOn w:val="Normal"/>
    <w:link w:val="FootnoteTextChar"/>
    <w:rsid w:val="00AE6101"/>
    <w:rPr>
      <w:rFonts w:eastAsia="Times New Roman"/>
    </w:rPr>
  </w:style>
  <w:style w:type="character" w:customStyle="1" w:styleId="FootnoteTextChar">
    <w:name w:val="Footnote Text Char"/>
    <w:basedOn w:val="DefaultParagraphFont"/>
    <w:link w:val="FootnoteText"/>
    <w:rsid w:val="00AE6101"/>
    <w:rPr>
      <w:rFonts w:eastAsia="Times New Roman"/>
      <w:lang w:eastAsia="en-US"/>
    </w:rPr>
  </w:style>
  <w:style w:type="character" w:styleId="FootnoteReference">
    <w:name w:val="footnote reference"/>
    <w:rsid w:val="00AE6101"/>
    <w:rPr>
      <w:vertAlign w:val="superscript"/>
    </w:rPr>
  </w:style>
  <w:style w:type="character" w:styleId="Hyperlink">
    <w:name w:val="Hyperlink"/>
    <w:basedOn w:val="DefaultParagraphFont"/>
    <w:uiPriority w:val="99"/>
    <w:unhideWhenUsed/>
    <w:rsid w:val="00AE6101"/>
    <w:rPr>
      <w:color w:val="0000FF"/>
      <w:u w:val="single"/>
    </w:rPr>
  </w:style>
  <w:style w:type="paragraph" w:styleId="CommentText">
    <w:name w:val="annotation text"/>
    <w:basedOn w:val="Normal"/>
    <w:link w:val="CommentTextChar"/>
    <w:uiPriority w:val="99"/>
    <w:unhideWhenUsed/>
    <w:rsid w:val="00AE6101"/>
    <w:rPr>
      <w:sz w:val="20"/>
      <w:szCs w:val="20"/>
    </w:rPr>
  </w:style>
  <w:style w:type="character" w:customStyle="1" w:styleId="CommentTextChar">
    <w:name w:val="Comment Text Char"/>
    <w:basedOn w:val="DefaultParagraphFont"/>
    <w:link w:val="CommentText"/>
    <w:uiPriority w:val="99"/>
    <w:rsid w:val="00AE6101"/>
    <w:rPr>
      <w:sz w:val="20"/>
      <w:szCs w:val="20"/>
      <w:lang w:eastAsia="en-US"/>
    </w:rPr>
  </w:style>
  <w:style w:type="paragraph" w:styleId="Footer">
    <w:name w:val="footer"/>
    <w:basedOn w:val="Normal"/>
    <w:link w:val="FooterChar"/>
    <w:uiPriority w:val="99"/>
    <w:unhideWhenUsed/>
    <w:rsid w:val="00AE6101"/>
    <w:pPr>
      <w:tabs>
        <w:tab w:val="center" w:pos="4320"/>
        <w:tab w:val="right" w:pos="8640"/>
      </w:tabs>
    </w:pPr>
  </w:style>
  <w:style w:type="character" w:customStyle="1" w:styleId="FooterChar">
    <w:name w:val="Footer Char"/>
    <w:basedOn w:val="DefaultParagraphFont"/>
    <w:link w:val="Footer"/>
    <w:uiPriority w:val="99"/>
    <w:rsid w:val="00AE6101"/>
    <w:rPr>
      <w:lang w:eastAsia="en-US"/>
    </w:rPr>
  </w:style>
  <w:style w:type="character" w:styleId="PageNumber">
    <w:name w:val="page number"/>
    <w:basedOn w:val="DefaultParagraphFont"/>
    <w:uiPriority w:val="99"/>
    <w:semiHidden/>
    <w:unhideWhenUsed/>
    <w:rsid w:val="00AE6101"/>
  </w:style>
  <w:style w:type="paragraph" w:styleId="Header">
    <w:name w:val="header"/>
    <w:basedOn w:val="Normal"/>
    <w:link w:val="HeaderChar"/>
    <w:uiPriority w:val="99"/>
    <w:unhideWhenUsed/>
    <w:rsid w:val="00610E09"/>
    <w:pPr>
      <w:tabs>
        <w:tab w:val="center" w:pos="4320"/>
        <w:tab w:val="right" w:pos="8640"/>
      </w:tabs>
    </w:pPr>
  </w:style>
  <w:style w:type="character" w:customStyle="1" w:styleId="HeaderChar">
    <w:name w:val="Header Char"/>
    <w:basedOn w:val="DefaultParagraphFont"/>
    <w:link w:val="Header"/>
    <w:uiPriority w:val="99"/>
    <w:rsid w:val="00610E09"/>
    <w:rPr>
      <w:lang w:eastAsia="en-US"/>
    </w:rPr>
  </w:style>
  <w:style w:type="paragraph" w:styleId="BalloonText">
    <w:name w:val="Balloon Text"/>
    <w:basedOn w:val="Normal"/>
    <w:link w:val="BalloonTextChar"/>
    <w:uiPriority w:val="99"/>
    <w:semiHidden/>
    <w:unhideWhenUsed/>
    <w:rsid w:val="00610E0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10E09"/>
    <w:rPr>
      <w:rFonts w:ascii="Lucida Grande" w:hAnsi="Lucida Grande" w:cs="Lucida Grande"/>
      <w:sz w:val="18"/>
      <w:szCs w:val="18"/>
      <w:lang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s://www.policyalternatives.ca/publications/ourschools-ourselves/pluralism-arts-canad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pamo.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microsoft.com/office/2007/relationships/stylesWithEffects" Target="stylesWithEffects.xml"/></Relationships>
</file>

<file path=word/_rels/footnotes.xml.rels><?xml version="1.0" encoding="UTF-8" standalone="yes"?>
<Relationships xmlns="http://schemas.openxmlformats.org/package/2006/relationships"><Relationship Id="rId1" Type="http://schemas.openxmlformats.org/officeDocument/2006/relationships/hyperlink" Target="http://www40.statcan.gc.ca/l01/cst01/demo50a-eng.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C0C0C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14</Pages>
  <Words>4417</Words>
  <Characters>25182</Characters>
  <Application>Microsoft Office Word</Application>
  <DocSecurity>0</DocSecurity>
  <Lines>209</Lines>
  <Paragraphs>59</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1.	Population Projections:</vt:lpstr>
      <vt:lpstr/>
      <vt:lpstr>2.	Growth and Socio-Economic Characteristics of Indigenous and Equity Group Arti</vt:lpstr>
      <vt:lpstr>3. 	Indigenous and Equity Group Audience Engagement in the Arts:</vt:lpstr>
      <vt:lpstr>“The question of ‘where’ arts participation happens, and how much emphasis shoul</vt:lpstr>
      <vt:lpstr/>
      <vt:lpstr>“Thinking about engaging diverse audiences means thinking broadly about arts act</vt:lpstr>
      <vt:lpstr/>
      <vt:lpstr>“Findings point to the key role that the arts can play in social bridging and bo</vt:lpstr>
      <vt:lpstr/>
      <vt:lpstr>“…this study’s findings serve to underscore the interconnections between various</vt:lpstr>
    </vt:vector>
  </TitlesOfParts>
  <Company/>
  <LinksUpToDate>false</LinksUpToDate>
  <CharactersWithSpaces>29540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c smith</dc:creator>
  <cp:keywords/>
  <dc:description/>
  <cp:lastModifiedBy>Gl</cp:lastModifiedBy>
  <cp:revision>3</cp:revision>
  <dcterms:created xsi:type="dcterms:W3CDTF">2015-12-09T13:36:00Z</dcterms:created>
  <dcterms:modified xsi:type="dcterms:W3CDTF">2016-04-03T00:08:00Z</dcterms:modified>
</cp:coreProperties>
</file>